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Pr="00B96D89" w:rsidRDefault="00B96D89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32"/>
          <w:szCs w:val="32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                                                        </w:t>
      </w:r>
      <w:r w:rsidR="00CD4C58" w:rsidRPr="00B96D89">
        <w:rPr>
          <w:rFonts w:ascii="Times New Roman" w:hAnsi="Times New Roman"/>
          <w:b/>
          <w:bCs/>
          <w:color w:val="000080"/>
          <w:sz w:val="32"/>
          <w:szCs w:val="32"/>
        </w:rPr>
        <w:t>ПРОЕКТ</w:t>
      </w: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D4C58">
        <w:rPr>
          <w:rFonts w:ascii="Times New Roman" w:hAnsi="Times New Roman"/>
          <w:b/>
          <w:bCs/>
          <w:sz w:val="28"/>
          <w:szCs w:val="28"/>
        </w:rPr>
        <w:t xml:space="preserve"> ноября</w:t>
      </w:r>
      <w:r w:rsidR="00C25839">
        <w:rPr>
          <w:rFonts w:ascii="Times New Roman" w:hAnsi="Times New Roman"/>
          <w:b/>
          <w:bCs/>
          <w:sz w:val="28"/>
          <w:szCs w:val="28"/>
        </w:rPr>
        <w:t xml:space="preserve">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C25839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2024 и 2025</w:t>
      </w:r>
      <w:r w:rsidR="00CD4C58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25839">
        <w:rPr>
          <w:rFonts w:ascii="Times New Roman" w:hAnsi="Times New Roman"/>
          <w:bCs/>
          <w:sz w:val="28"/>
          <w:szCs w:val="28"/>
        </w:rPr>
        <w:t>23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C25839">
        <w:rPr>
          <w:rFonts w:ascii="Times New Roman" w:hAnsi="Times New Roman"/>
          <w:bCs/>
          <w:sz w:val="28"/>
          <w:szCs w:val="28"/>
        </w:rPr>
        <w:t>23030251рубль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C25839">
        <w:rPr>
          <w:rFonts w:ascii="Times New Roman" w:hAnsi="Times New Roman"/>
          <w:bCs/>
          <w:sz w:val="28"/>
          <w:szCs w:val="28"/>
        </w:rPr>
        <w:t>23030215рубль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71D02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год в сумме </w:t>
      </w:r>
      <w:r w:rsidR="00C25839">
        <w:rPr>
          <w:rFonts w:ascii="Times New Roman" w:hAnsi="Times New Roman"/>
          <w:bCs/>
          <w:sz w:val="28"/>
          <w:szCs w:val="28"/>
        </w:rPr>
        <w:t>14098653</w:t>
      </w:r>
      <w:r w:rsidR="00271D02">
        <w:rPr>
          <w:rFonts w:ascii="Times New Roman" w:hAnsi="Times New Roman"/>
          <w:bCs/>
          <w:sz w:val="28"/>
          <w:szCs w:val="28"/>
        </w:rPr>
        <w:t>рубля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="00A864F5">
        <w:rPr>
          <w:rFonts w:ascii="Times New Roman" w:hAnsi="Times New Roman"/>
          <w:bCs/>
          <w:sz w:val="28"/>
          <w:szCs w:val="28"/>
        </w:rPr>
        <w:t xml:space="preserve">в сумме 14709040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A864F5">
        <w:rPr>
          <w:rFonts w:ascii="Times New Roman" w:hAnsi="Times New Roman"/>
          <w:bCs/>
          <w:sz w:val="28"/>
          <w:szCs w:val="28"/>
        </w:rPr>
        <w:t>14098653</w:t>
      </w:r>
      <w:r w:rsidR="00271D02">
        <w:rPr>
          <w:rFonts w:ascii="Times New Roman" w:hAnsi="Times New Roman"/>
          <w:bCs/>
          <w:sz w:val="28"/>
          <w:szCs w:val="28"/>
        </w:rPr>
        <w:t>рубля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A864F5">
        <w:rPr>
          <w:rFonts w:ascii="Times New Roman" w:hAnsi="Times New Roman"/>
          <w:bCs/>
          <w:sz w:val="28"/>
          <w:szCs w:val="28"/>
        </w:rPr>
        <w:t xml:space="preserve"> 352466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A864F5">
        <w:rPr>
          <w:rFonts w:ascii="Times New Roman" w:hAnsi="Times New Roman"/>
          <w:bCs/>
          <w:sz w:val="28"/>
          <w:szCs w:val="28"/>
        </w:rPr>
        <w:t>14709040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9734E7">
        <w:rPr>
          <w:rFonts w:ascii="Times New Roman" w:hAnsi="Times New Roman"/>
          <w:bCs/>
          <w:sz w:val="28"/>
          <w:szCs w:val="28"/>
        </w:rPr>
        <w:t>735</w:t>
      </w:r>
      <w:r w:rsidR="00A864F5">
        <w:rPr>
          <w:rFonts w:ascii="Times New Roman" w:hAnsi="Times New Roman"/>
          <w:bCs/>
          <w:sz w:val="28"/>
          <w:szCs w:val="28"/>
        </w:rPr>
        <w:t>452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A864F5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271D02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271D02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 xml:space="preserve">на </w:t>
      </w:r>
      <w:r w:rsidR="00037CC4" w:rsidRPr="008650FE">
        <w:rPr>
          <w:sz w:val="28"/>
          <w:szCs w:val="28"/>
        </w:rPr>
        <w:t>20</w:t>
      </w:r>
      <w:r w:rsidR="00A864F5">
        <w:rPr>
          <w:sz w:val="28"/>
          <w:szCs w:val="28"/>
        </w:rPr>
        <w:t>23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4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5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A864F5">
        <w:rPr>
          <w:rFonts w:ascii="Times New Roman" w:hAnsi="Times New Roman"/>
          <w:b/>
          <w:bCs/>
          <w:sz w:val="28"/>
          <w:szCs w:val="28"/>
        </w:rPr>
        <w:t xml:space="preserve"> на 2023 и на плановый период 2024 и 2025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Pr="008650FE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464907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464907">
        <w:rPr>
          <w:bCs/>
          <w:sz w:val="28"/>
          <w:szCs w:val="28"/>
        </w:rPr>
        <w:t xml:space="preserve"> 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537179">
        <w:rPr>
          <w:bCs/>
          <w:sz w:val="28"/>
          <w:szCs w:val="28"/>
        </w:rPr>
        <w:t xml:space="preserve">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2024 и 2025</w:t>
      </w:r>
      <w:r w:rsidR="00464907">
        <w:rPr>
          <w:sz w:val="28"/>
          <w:szCs w:val="28"/>
        </w:rPr>
        <w:t xml:space="preserve"> годов</w:t>
      </w:r>
      <w:r w:rsidR="00A64CE4">
        <w:rPr>
          <w:bCs/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поселка Конышевка Конышевского </w:t>
      </w:r>
      <w:r w:rsidR="00A864F5">
        <w:rPr>
          <w:rFonts w:ascii="Times New Roman" w:hAnsi="Times New Roman"/>
          <w:b/>
          <w:bCs/>
          <w:sz w:val="28"/>
          <w:szCs w:val="28"/>
        </w:rPr>
        <w:t>района Курской области на 2023 год и на плановый период 2024 и 2025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 w:rsidR="00542B5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A864F5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2023</w:t>
      </w:r>
      <w:r w:rsidR="00F42F72" w:rsidRPr="008650FE">
        <w:rPr>
          <w:sz w:val="28"/>
          <w:szCs w:val="28"/>
        </w:rPr>
        <w:t xml:space="preserve"> год в сумме </w:t>
      </w:r>
      <w:r w:rsidR="009D019E">
        <w:rPr>
          <w:sz w:val="28"/>
          <w:szCs w:val="28"/>
        </w:rPr>
        <w:t>2813214</w:t>
      </w:r>
      <w:r w:rsidR="00F42F72">
        <w:rPr>
          <w:sz w:val="28"/>
          <w:szCs w:val="28"/>
        </w:rPr>
        <w:t>рублей</w:t>
      </w:r>
      <w:r w:rsidR="00F42F72"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537179">
        <w:rPr>
          <w:sz w:val="28"/>
          <w:szCs w:val="28"/>
        </w:rPr>
        <w:t>,</w:t>
      </w:r>
      <w:r w:rsidR="00537179" w:rsidRPr="00537179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 xml:space="preserve">становленных статьей 2 Решения Собрания депутатов поселка </w:t>
      </w:r>
      <w:r w:rsidR="00537179">
        <w:rPr>
          <w:sz w:val="28"/>
          <w:szCs w:val="28"/>
        </w:rPr>
        <w:lastRenderedPageBreak/>
        <w:t>Конышевка от 30.12.2013г.№103(с последующими изменениями) «О создании муниципального дорожного фонда поселка Конышевка»</w:t>
      </w:r>
      <w:r w:rsidR="00F42F72" w:rsidRPr="008650FE">
        <w:rPr>
          <w:sz w:val="28"/>
          <w:szCs w:val="28"/>
        </w:rPr>
        <w:t>:</w:t>
      </w:r>
    </w:p>
    <w:p w:rsidR="00946B4A" w:rsidRPr="00FA7E86" w:rsidRDefault="00946B4A" w:rsidP="00946B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Pr="00FA7E86">
        <w:rPr>
          <w:sz w:val="28"/>
          <w:szCs w:val="28"/>
        </w:rPr>
        <w:t xml:space="preserve">, предоставляемых из </w:t>
      </w:r>
      <w:r>
        <w:rPr>
          <w:sz w:val="28"/>
          <w:szCs w:val="28"/>
        </w:rPr>
        <w:t>областного бюджета бюджету</w:t>
      </w:r>
      <w:r w:rsidRPr="00FA7E8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FA7E86">
        <w:rPr>
          <w:sz w:val="28"/>
          <w:szCs w:val="28"/>
        </w:rPr>
        <w:t xml:space="preserve"> на развитие транспортной инфрас</w:t>
      </w:r>
      <w:r>
        <w:rPr>
          <w:sz w:val="28"/>
          <w:szCs w:val="28"/>
        </w:rPr>
        <w:t>труктуры , в сумме 703877</w:t>
      </w:r>
      <w:r w:rsidRPr="00FA7E86">
        <w:rPr>
          <w:sz w:val="28"/>
          <w:szCs w:val="28"/>
        </w:rPr>
        <w:t xml:space="preserve"> рублей;</w:t>
      </w:r>
    </w:p>
    <w:p w:rsidR="00946B4A" w:rsidRDefault="00946B4A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2024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1940085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2025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1891200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 w:rsidR="009D019E">
        <w:rPr>
          <w:rFonts w:ascii="Times New Roman" w:hAnsi="Times New Roman"/>
          <w:b/>
          <w:sz w:val="28"/>
          <w:szCs w:val="28"/>
        </w:rPr>
        <w:t>23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 Конышевского района Курской облас</w:t>
      </w:r>
      <w:r w:rsidR="009D019E">
        <w:rPr>
          <w:rFonts w:ascii="Times New Roman" w:hAnsi="Times New Roman"/>
          <w:sz w:val="28"/>
          <w:szCs w:val="28"/>
        </w:rPr>
        <w:t>ти по состоянию на 1 января 2023</w:t>
      </w:r>
      <w:r>
        <w:rPr>
          <w:rFonts w:ascii="Times New Roman" w:hAnsi="Times New Roman"/>
          <w:sz w:val="28"/>
          <w:szCs w:val="28"/>
        </w:rPr>
        <w:t xml:space="preserve"> года на счете бюджета поселка Конышевка Конышевского района Курской области, образовавшиеся в связи с неполным использованием получателями средств бюджета поселка Конышевка Конышевскогорайона Кур</w:t>
      </w:r>
      <w:r w:rsidR="009D019E">
        <w:rPr>
          <w:rFonts w:ascii="Times New Roman" w:hAnsi="Times New Roman"/>
          <w:sz w:val="28"/>
          <w:szCs w:val="28"/>
        </w:rPr>
        <w:t>ской области направляются в 2023</w:t>
      </w:r>
      <w:r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в соответствии с пунктом 3 статьи 217 Бюджетного код</w:t>
      </w:r>
      <w:r w:rsidR="009D019E">
        <w:rPr>
          <w:rFonts w:ascii="Times New Roman" w:hAnsi="Times New Roman"/>
          <w:sz w:val="28"/>
          <w:szCs w:val="28"/>
        </w:rPr>
        <w:t>екса Российской Федерации в 2023</w:t>
      </w:r>
      <w:r>
        <w:rPr>
          <w:rFonts w:ascii="Times New Roman" w:hAnsi="Times New Roman"/>
          <w:sz w:val="28"/>
          <w:szCs w:val="28"/>
        </w:rPr>
        <w:t xml:space="preserve">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  <w:r w:rsidR="00110C2E" w:rsidRPr="00110C2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 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государственн</w:t>
      </w:r>
      <w:r w:rsidR="009D019E">
        <w:rPr>
          <w:rFonts w:ascii="Times New Roman" w:eastAsia="Times New Roman" w:hAnsi="Times New Roman"/>
          <w:bCs/>
          <w:sz w:val="28"/>
          <w:szCs w:val="28"/>
        </w:rPr>
        <w:t xml:space="preserve">ых гражданских служащих, на </w:t>
      </w:r>
      <w:r w:rsidR="009D019E">
        <w:rPr>
          <w:rFonts w:ascii="Times New Roman" w:eastAsia="Times New Roman" w:hAnsi="Times New Roman"/>
          <w:bCs/>
          <w:sz w:val="28"/>
          <w:szCs w:val="28"/>
        </w:rPr>
        <w:lastRenderedPageBreak/>
        <w:t>2023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9D019E">
        <w:rPr>
          <w:rFonts w:ascii="Times New Roman" w:eastAsia="Times New Roman" w:hAnsi="Times New Roman"/>
          <w:bCs/>
          <w:sz w:val="28"/>
          <w:szCs w:val="28"/>
        </w:rPr>
        <w:t>, на 2024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9D019E">
        <w:rPr>
          <w:rFonts w:ascii="Times New Roman" w:eastAsia="Times New Roman" w:hAnsi="Times New Roman"/>
          <w:bCs/>
          <w:sz w:val="28"/>
          <w:szCs w:val="28"/>
        </w:rPr>
        <w:t>, на 2025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2A17EF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506392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506392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</w:t>
      </w:r>
      <w:r w:rsidR="00310EF2" w:rsidRPr="008650FE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бюджета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</w:t>
      </w:r>
      <w:r w:rsidR="00310EF2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 Администрацией</w:t>
      </w:r>
      <w:r w:rsidR="00310EF2" w:rsidRPr="008650FE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 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9D019E" w:rsidRPr="00A44E76" w:rsidRDefault="009D019E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="009D019E">
        <w:rPr>
          <w:rFonts w:ascii="Times New Roman" w:hAnsi="Times New Roman" w:cs="Times New Roman"/>
          <w:sz w:val="28"/>
          <w:szCs w:val="28"/>
        </w:rPr>
        <w:t xml:space="preserve"> Курской области на 2023</w:t>
      </w:r>
      <w:r w:rsidRPr="00A44E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 w:rsidR="009D019E">
        <w:rPr>
          <w:rFonts w:ascii="Times New Roman" w:hAnsi="Times New Roman"/>
          <w:sz w:val="28"/>
          <w:szCs w:val="28"/>
        </w:rPr>
        <w:t xml:space="preserve"> 34352 рубля </w:t>
      </w:r>
      <w:r w:rsidRPr="00A44E76">
        <w:rPr>
          <w:rFonts w:ascii="Times New Roman" w:hAnsi="Times New Roman" w:cs="Times New Roman"/>
          <w:sz w:val="28"/>
          <w:szCs w:val="28"/>
        </w:rPr>
        <w:t>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форме иных межбюджетных трансфертов на выполнение переданных полномочий на уровень Конышевского муниципа</w:t>
      </w:r>
      <w:r w:rsidR="002A17EF">
        <w:rPr>
          <w:rFonts w:ascii="Times New Roman" w:hAnsi="Times New Roman" w:cs="Times New Roman"/>
          <w:sz w:val="28"/>
          <w:szCs w:val="28"/>
        </w:rPr>
        <w:t>льного района  на 2023</w:t>
      </w:r>
      <w:r w:rsidR="009D019E">
        <w:rPr>
          <w:rFonts w:ascii="Times New Roman" w:hAnsi="Times New Roman" w:cs="Times New Roman"/>
          <w:sz w:val="28"/>
          <w:szCs w:val="28"/>
        </w:rPr>
        <w:t xml:space="preserve"> год 34352 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lastRenderedPageBreak/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9D019E">
        <w:rPr>
          <w:sz w:val="28"/>
          <w:szCs w:val="28"/>
        </w:rPr>
        <w:t>, приводящие к увеличению в 2023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F63BB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8650FE" w:rsidRDefault="008F63BB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</w:t>
      </w:r>
      <w:r w:rsidR="009D019E">
        <w:rPr>
          <w:sz w:val="28"/>
          <w:szCs w:val="28"/>
        </w:rPr>
        <w:t xml:space="preserve"> с 1 октября 2023</w:t>
      </w:r>
      <w:r>
        <w:rPr>
          <w:sz w:val="28"/>
          <w:szCs w:val="28"/>
        </w:rPr>
        <w:t xml:space="preserve"> года размер денежного вознаграждения лиц, замещающих муниципальные должности Администрации поселка Конышевка Конышевского района Курской области, окладов месячного денежного содержания муниципальных служащих Администрации поселка Конышевка Конышевского района Курской области, а также месячных должностных окладов работников, замещающих должности, не являющиеся должностями муниципальн</w:t>
      </w:r>
      <w:r w:rsidR="001F2ED0">
        <w:rPr>
          <w:sz w:val="28"/>
          <w:szCs w:val="28"/>
        </w:rPr>
        <w:t>ой службы, индексируется на 1,055</w:t>
      </w:r>
      <w:r>
        <w:rPr>
          <w:sz w:val="28"/>
          <w:szCs w:val="28"/>
        </w:rPr>
        <w:t xml:space="preserve"> и не превышает областной</w:t>
      </w:r>
      <w:r w:rsidR="00C80248">
        <w:rPr>
          <w:sz w:val="28"/>
          <w:szCs w:val="28"/>
        </w:rPr>
        <w:t xml:space="preserve"> уровень.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9D019E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9D019E">
        <w:rPr>
          <w:rFonts w:ascii="Times New Roman" w:hAnsi="Times New Roman"/>
          <w:sz w:val="28"/>
          <w:szCs w:val="28"/>
        </w:rPr>
        <w:t xml:space="preserve">12146806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9D019E">
        <w:rPr>
          <w:rFonts w:ascii="Times New Roman" w:hAnsi="Times New Roman"/>
          <w:sz w:val="28"/>
          <w:szCs w:val="28"/>
        </w:rPr>
        <w:t>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9D019E">
        <w:rPr>
          <w:rFonts w:ascii="Times New Roman" w:hAnsi="Times New Roman"/>
          <w:sz w:val="28"/>
          <w:szCs w:val="28"/>
        </w:rPr>
        <w:t xml:space="preserve"> 12641628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9D019E">
        <w:rPr>
          <w:rFonts w:ascii="Times New Roman" w:hAnsi="Times New Roman"/>
          <w:sz w:val="28"/>
          <w:szCs w:val="28"/>
        </w:rPr>
        <w:t>2025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 w:rsidR="009D019E">
        <w:rPr>
          <w:rFonts w:ascii="Times New Roman" w:hAnsi="Times New Roman"/>
          <w:sz w:val="28"/>
          <w:szCs w:val="28"/>
        </w:rPr>
        <w:t>до 13369247 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C80248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9D019E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8650FE">
        <w:rPr>
          <w:rFonts w:ascii="Times New Roman" w:hAnsi="Times New Roman" w:cs="Times New Roman"/>
          <w:sz w:val="28"/>
          <w:szCs w:val="28"/>
        </w:rPr>
        <w:lastRenderedPageBreak/>
        <w:t>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       Настоящее Решение вступает в </w:t>
      </w:r>
      <w:r w:rsidR="009D019E">
        <w:rPr>
          <w:rFonts w:ascii="Times New Roman" w:hAnsi="Times New Roman"/>
          <w:sz w:val="28"/>
          <w:szCs w:val="28"/>
        </w:rPr>
        <w:t>силу с 1 января 2023</w:t>
      </w:r>
      <w:r w:rsidR="00C80248">
        <w:rPr>
          <w:rFonts w:ascii="Times New Roman" w:hAnsi="Times New Roman"/>
          <w:sz w:val="28"/>
          <w:szCs w:val="28"/>
        </w:rPr>
        <w:t xml:space="preserve"> года</w:t>
      </w:r>
      <w:r w:rsidRPr="003B28C1">
        <w:rPr>
          <w:rFonts w:ascii="Times New Roman" w:hAnsi="Times New Roman"/>
          <w:sz w:val="28"/>
          <w:szCs w:val="28"/>
        </w:rPr>
        <w:t xml:space="preserve">           </w:t>
      </w: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B96D8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57F" w:rsidRDefault="0062757F" w:rsidP="007E2796">
      <w:r>
        <w:separator/>
      </w:r>
    </w:p>
  </w:endnote>
  <w:endnote w:type="continuationSeparator" w:id="1">
    <w:p w:rsidR="0062757F" w:rsidRDefault="0062757F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57F" w:rsidRDefault="0062757F" w:rsidP="007E2796">
      <w:r>
        <w:separator/>
      </w:r>
    </w:p>
  </w:footnote>
  <w:footnote w:type="continuationSeparator" w:id="1">
    <w:p w:rsidR="0062757F" w:rsidRDefault="0062757F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5310F3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2A17EF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52B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2ED0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7EF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DEE"/>
    <w:rsid w:val="00527029"/>
    <w:rsid w:val="005310F3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2757F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6291"/>
    <w:rsid w:val="00946B4A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34E7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019E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864F5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57EB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67F13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5839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14A4"/>
    <w:rsid w:val="00CB4901"/>
    <w:rsid w:val="00CB6738"/>
    <w:rsid w:val="00CB6DCC"/>
    <w:rsid w:val="00CB73B3"/>
    <w:rsid w:val="00CC266D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3213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B9697-47C2-449B-9806-2EB8E9A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13837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34</cp:revision>
  <cp:lastPrinted>2022-11-15T07:36:00Z</cp:lastPrinted>
  <dcterms:created xsi:type="dcterms:W3CDTF">2021-01-26T14:22:00Z</dcterms:created>
  <dcterms:modified xsi:type="dcterms:W3CDTF">2022-11-17T08:10:00Z</dcterms:modified>
</cp:coreProperties>
</file>