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Pr="00B96D89" w:rsidRDefault="00B96D89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32"/>
          <w:szCs w:val="32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                                                        </w:t>
      </w:r>
    </w:p>
    <w:p w:rsidR="00362173" w:rsidRDefault="00362173" w:rsidP="00C35EC5">
      <w:pPr>
        <w:pStyle w:val="ad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2580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360439">
        <w:rPr>
          <w:rFonts w:ascii="Times New Roman" w:hAnsi="Times New Roman"/>
          <w:b/>
          <w:bCs/>
          <w:sz w:val="28"/>
          <w:szCs w:val="28"/>
        </w:rPr>
        <w:t>28</w:t>
      </w:r>
      <w:r w:rsidR="005258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60439">
        <w:rPr>
          <w:rFonts w:ascii="Times New Roman" w:hAnsi="Times New Roman"/>
          <w:b/>
          <w:bCs/>
          <w:sz w:val="28"/>
          <w:szCs w:val="28"/>
        </w:rPr>
        <w:t xml:space="preserve"> января   2024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</w:t>
      </w:r>
      <w:r w:rsidR="00360439">
        <w:rPr>
          <w:rFonts w:ascii="Times New Roman" w:hAnsi="Times New Roman"/>
          <w:b/>
          <w:bCs/>
          <w:sz w:val="28"/>
          <w:szCs w:val="28"/>
        </w:rPr>
        <w:t xml:space="preserve"> № 131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60439" w:rsidRDefault="00360439" w:rsidP="00360439">
      <w:pPr>
        <w:pStyle w:val="ad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 в Решение Собрания депутатов</w:t>
      </w:r>
    </w:p>
    <w:p w:rsidR="00360439" w:rsidRDefault="00360439" w:rsidP="00360439">
      <w:pPr>
        <w:pStyle w:val="ad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№124 от 15.12.2023г.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 Конышевского района Курской области</w:t>
      </w:r>
    </w:p>
    <w:p w:rsidR="00360439" w:rsidRDefault="00360439" w:rsidP="00360439">
      <w:pPr>
        <w:pStyle w:val="ad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2024 год и на плановый период 2025 и 2026 годов»</w:t>
      </w:r>
    </w:p>
    <w:p w:rsidR="00360439" w:rsidRDefault="00360439" w:rsidP="00360439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60439" w:rsidRDefault="00360439" w:rsidP="00360439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Собрание депутатов поселка Конышевка</w:t>
      </w:r>
      <w:r>
        <w:rPr>
          <w:rFonts w:ascii="Times New Roman" w:hAnsi="Times New Roman"/>
          <w:b/>
          <w:bCs/>
          <w:sz w:val="28"/>
          <w:szCs w:val="28"/>
        </w:rPr>
        <w:t xml:space="preserve"> Решило:</w:t>
      </w:r>
    </w:p>
    <w:p w:rsidR="00360439" w:rsidRPr="00F40565" w:rsidRDefault="00360439" w:rsidP="00360439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1.Решение Собрание депутатов поселка Конышевка от 15.12.2023г. № 124  «О бюджете поселка Конышевка Конышевского района Курской области на 2024 год и на плановый период 2025 и 2026 годов» изложить в новой редакции.</w:t>
      </w: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441FE6">
        <w:rPr>
          <w:rFonts w:ascii="Times New Roman" w:hAnsi="Times New Roman"/>
          <w:bCs/>
          <w:sz w:val="28"/>
          <w:szCs w:val="28"/>
        </w:rPr>
        <w:t>24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491BA1">
        <w:rPr>
          <w:rFonts w:ascii="Times New Roman" w:hAnsi="Times New Roman"/>
          <w:bCs/>
          <w:sz w:val="28"/>
          <w:szCs w:val="28"/>
        </w:rPr>
        <w:t>20 452 026</w:t>
      </w:r>
      <w:r w:rsidR="00441FE6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41FE6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491BA1">
        <w:rPr>
          <w:rFonts w:ascii="Times New Roman" w:hAnsi="Times New Roman"/>
          <w:bCs/>
          <w:sz w:val="28"/>
          <w:szCs w:val="28"/>
        </w:rPr>
        <w:t>21 401 368 рублей</w:t>
      </w:r>
      <w:r w:rsidR="006E542C">
        <w:rPr>
          <w:rFonts w:ascii="Times New Roman" w:hAnsi="Times New Roman"/>
          <w:bCs/>
          <w:sz w:val="28"/>
          <w:szCs w:val="28"/>
        </w:rPr>
        <w:t xml:space="preserve"> 35 копеек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441FE6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6E542C">
        <w:rPr>
          <w:rFonts w:ascii="Times New Roman" w:hAnsi="Times New Roman"/>
          <w:bCs/>
          <w:sz w:val="28"/>
          <w:szCs w:val="28"/>
        </w:rPr>
        <w:t>949 342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6E542C">
        <w:rPr>
          <w:rFonts w:ascii="Times New Roman" w:hAnsi="Times New Roman"/>
          <w:bCs/>
          <w:sz w:val="28"/>
          <w:szCs w:val="28"/>
        </w:rPr>
        <w:t>я 35 копеек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5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6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год в сумме </w:t>
      </w:r>
      <w:r w:rsidR="00D37D18" w:rsidRPr="00D37D18">
        <w:rPr>
          <w:rFonts w:ascii="Times New Roman" w:hAnsi="Times New Roman"/>
          <w:bCs/>
          <w:sz w:val="28"/>
          <w:szCs w:val="28"/>
        </w:rPr>
        <w:t>15 759 65</w:t>
      </w:r>
      <w:r w:rsidR="00C35EC5" w:rsidRPr="00D37D18">
        <w:rPr>
          <w:rFonts w:ascii="Times New Roman" w:hAnsi="Times New Roman"/>
          <w:bCs/>
          <w:sz w:val="28"/>
          <w:szCs w:val="28"/>
        </w:rPr>
        <w:t>5</w:t>
      </w:r>
      <w:r w:rsidR="00324731" w:rsidRPr="00D37D18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6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="00C35EC5">
        <w:rPr>
          <w:rFonts w:ascii="Times New Roman" w:hAnsi="Times New Roman"/>
          <w:bCs/>
          <w:sz w:val="28"/>
          <w:szCs w:val="28"/>
        </w:rPr>
        <w:t>в сумме 16 253 741</w:t>
      </w:r>
      <w:r w:rsidR="00A864F5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A43579">
        <w:rPr>
          <w:rFonts w:ascii="Times New Roman" w:hAnsi="Times New Roman"/>
          <w:bCs/>
          <w:sz w:val="28"/>
          <w:szCs w:val="28"/>
        </w:rPr>
        <w:t>ь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441FE6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C35EC5">
        <w:rPr>
          <w:rFonts w:ascii="Times New Roman" w:hAnsi="Times New Roman"/>
          <w:bCs/>
          <w:sz w:val="28"/>
          <w:szCs w:val="28"/>
        </w:rPr>
        <w:t>15 759 665</w:t>
      </w:r>
      <w:r w:rsidR="00A43579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B56C1F">
        <w:rPr>
          <w:rFonts w:ascii="Times New Roman" w:hAnsi="Times New Roman"/>
          <w:bCs/>
          <w:sz w:val="28"/>
          <w:szCs w:val="28"/>
        </w:rPr>
        <w:t xml:space="preserve"> 393 992 рубля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B56C1F">
        <w:rPr>
          <w:rFonts w:ascii="Times New Roman" w:hAnsi="Times New Roman"/>
          <w:bCs/>
          <w:sz w:val="28"/>
          <w:szCs w:val="28"/>
        </w:rPr>
        <w:t>6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C35EC5">
        <w:rPr>
          <w:rFonts w:ascii="Times New Roman" w:hAnsi="Times New Roman"/>
          <w:bCs/>
          <w:sz w:val="28"/>
          <w:szCs w:val="28"/>
        </w:rPr>
        <w:t xml:space="preserve"> 16 253 741</w:t>
      </w:r>
      <w:r w:rsidR="00B56C1F">
        <w:rPr>
          <w:rFonts w:ascii="Times New Roman" w:hAnsi="Times New Roman"/>
          <w:bCs/>
          <w:sz w:val="28"/>
          <w:szCs w:val="28"/>
        </w:rPr>
        <w:t xml:space="preserve"> </w:t>
      </w:r>
      <w:r w:rsidR="00324731">
        <w:rPr>
          <w:rFonts w:ascii="Times New Roman" w:hAnsi="Times New Roman"/>
          <w:bCs/>
          <w:sz w:val="28"/>
          <w:szCs w:val="28"/>
        </w:rPr>
        <w:t>рубль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324731">
        <w:rPr>
          <w:rFonts w:ascii="Times New Roman" w:hAnsi="Times New Roman"/>
          <w:bCs/>
          <w:sz w:val="28"/>
          <w:szCs w:val="28"/>
        </w:rPr>
        <w:t>812 688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324731">
        <w:rPr>
          <w:rFonts w:ascii="Times New Roman" w:hAnsi="Times New Roman"/>
          <w:bCs/>
          <w:sz w:val="28"/>
          <w:szCs w:val="28"/>
        </w:rPr>
        <w:t>ей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B56C1F">
        <w:rPr>
          <w:rFonts w:ascii="Times New Roman" w:hAnsi="Times New Roman"/>
          <w:bCs/>
          <w:sz w:val="28"/>
          <w:szCs w:val="28"/>
        </w:rPr>
        <w:t>5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B56C1F">
        <w:rPr>
          <w:rFonts w:ascii="Times New Roman" w:hAnsi="Times New Roman"/>
          <w:bCs/>
          <w:sz w:val="28"/>
          <w:szCs w:val="28"/>
        </w:rPr>
        <w:t>6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271D02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271D02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B56C1F">
        <w:rPr>
          <w:sz w:val="28"/>
          <w:szCs w:val="28"/>
        </w:rPr>
        <w:t>24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B56C1F">
        <w:rPr>
          <w:sz w:val="28"/>
          <w:szCs w:val="28"/>
        </w:rPr>
        <w:t>5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B56C1F">
        <w:rPr>
          <w:sz w:val="28"/>
          <w:szCs w:val="28"/>
        </w:rPr>
        <w:t>6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B56C1F">
        <w:rPr>
          <w:rFonts w:ascii="Times New Roman" w:hAnsi="Times New Roman"/>
          <w:b/>
          <w:bCs/>
          <w:sz w:val="28"/>
          <w:szCs w:val="28"/>
        </w:rPr>
        <w:t xml:space="preserve"> на 2024 и на плановый период 2025 и 2026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Pr="008650FE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464907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="00464907">
        <w:rPr>
          <w:bCs/>
          <w:sz w:val="28"/>
          <w:szCs w:val="28"/>
        </w:rPr>
        <w:t xml:space="preserve"> </w:t>
      </w:r>
    </w:p>
    <w:p w:rsidR="0062420D" w:rsidRPr="008650FE" w:rsidRDefault="00B56C1F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 2024</w:t>
      </w:r>
      <w:r w:rsidR="00537179">
        <w:rPr>
          <w:bCs/>
          <w:sz w:val="28"/>
          <w:szCs w:val="28"/>
        </w:rPr>
        <w:t xml:space="preserve">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B56C1F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2025 и 2026</w:t>
      </w:r>
      <w:r w:rsidR="00464907">
        <w:rPr>
          <w:sz w:val="28"/>
          <w:szCs w:val="28"/>
        </w:rPr>
        <w:t xml:space="preserve"> годов</w:t>
      </w:r>
      <w:r w:rsidR="00A64CE4">
        <w:rPr>
          <w:bCs/>
          <w:sz w:val="28"/>
          <w:szCs w:val="28"/>
        </w:rPr>
        <w:t xml:space="preserve">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поселка Конышевка Конышевского </w:t>
      </w:r>
      <w:r w:rsidR="00B56C1F">
        <w:rPr>
          <w:rFonts w:ascii="Times New Roman" w:hAnsi="Times New Roman"/>
          <w:b/>
          <w:bCs/>
          <w:sz w:val="28"/>
          <w:szCs w:val="28"/>
        </w:rPr>
        <w:t>района Курской области на 2024 год и на плановый период 2025 и 2026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DA6A16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 w:rsidR="00542B5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A6A16">
        <w:rPr>
          <w:rFonts w:ascii="Times New Roman" w:hAnsi="Times New Roman" w:cs="Times New Roman"/>
          <w:sz w:val="28"/>
          <w:szCs w:val="28"/>
        </w:rPr>
        <w:t>5 и 2026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DA6A16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DA6A16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2025 и 2026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8310D9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2025 и 2026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8310D9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="00F42F72" w:rsidRPr="008650FE">
        <w:rPr>
          <w:sz w:val="28"/>
          <w:szCs w:val="28"/>
        </w:rPr>
        <w:t xml:space="preserve"> год в сумме </w:t>
      </w:r>
      <w:r w:rsidR="00D37D18" w:rsidRPr="00D37D18">
        <w:rPr>
          <w:sz w:val="28"/>
          <w:szCs w:val="28"/>
        </w:rPr>
        <w:t>8 483</w:t>
      </w:r>
      <w:r w:rsidR="00D37D18">
        <w:rPr>
          <w:sz w:val="28"/>
          <w:szCs w:val="28"/>
        </w:rPr>
        <w:t> </w:t>
      </w:r>
      <w:r w:rsidR="00D37D18" w:rsidRPr="00D37D18">
        <w:rPr>
          <w:sz w:val="28"/>
          <w:szCs w:val="28"/>
        </w:rPr>
        <w:t>685</w:t>
      </w:r>
      <w:r w:rsidR="00D37D18">
        <w:rPr>
          <w:sz w:val="28"/>
          <w:szCs w:val="28"/>
        </w:rPr>
        <w:t xml:space="preserve"> </w:t>
      </w:r>
      <w:r w:rsidR="00F42F72" w:rsidRPr="00D37D18">
        <w:rPr>
          <w:sz w:val="28"/>
          <w:szCs w:val="28"/>
        </w:rPr>
        <w:t>рублей</w:t>
      </w:r>
      <w:r w:rsidR="00F42F72"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537179">
        <w:rPr>
          <w:sz w:val="28"/>
          <w:szCs w:val="28"/>
        </w:rPr>
        <w:t>,</w:t>
      </w:r>
      <w:r w:rsidR="00537179" w:rsidRPr="00537179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="00F42F72" w:rsidRPr="008650FE">
        <w:rPr>
          <w:sz w:val="28"/>
          <w:szCs w:val="28"/>
        </w:rPr>
        <w:t>:</w:t>
      </w:r>
    </w:p>
    <w:p w:rsidR="00946B4A" w:rsidRPr="00FA7E86" w:rsidRDefault="00946B4A" w:rsidP="00946B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Pr="00FA7E86">
        <w:rPr>
          <w:sz w:val="28"/>
          <w:szCs w:val="28"/>
        </w:rPr>
        <w:t xml:space="preserve">, предоставляемых из </w:t>
      </w:r>
      <w:r>
        <w:rPr>
          <w:sz w:val="28"/>
          <w:szCs w:val="28"/>
        </w:rPr>
        <w:t>областного бюджета бюджету</w:t>
      </w:r>
      <w:r w:rsidRPr="00FA7E86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FA7E86">
        <w:rPr>
          <w:sz w:val="28"/>
          <w:szCs w:val="28"/>
        </w:rPr>
        <w:t xml:space="preserve"> на развитие транспортной инфрас</w:t>
      </w:r>
      <w:r>
        <w:rPr>
          <w:sz w:val="28"/>
          <w:szCs w:val="28"/>
        </w:rPr>
        <w:t xml:space="preserve">труктуры , </w:t>
      </w:r>
      <w:r w:rsidR="008310D9">
        <w:rPr>
          <w:sz w:val="28"/>
          <w:szCs w:val="28"/>
        </w:rPr>
        <w:t>в сумме 3 911 399</w:t>
      </w:r>
      <w:r w:rsidRPr="00FA7E86">
        <w:rPr>
          <w:sz w:val="28"/>
          <w:szCs w:val="28"/>
        </w:rPr>
        <w:t xml:space="preserve"> рублей;</w:t>
      </w:r>
    </w:p>
    <w:p w:rsidR="00946B4A" w:rsidRDefault="00946B4A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2F72" w:rsidRDefault="008310D9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2 369 709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8310D9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2026</w:t>
      </w:r>
      <w:r w:rsidR="00F42F72" w:rsidRPr="008650FE">
        <w:rPr>
          <w:sz w:val="28"/>
          <w:szCs w:val="28"/>
        </w:rPr>
        <w:t xml:space="preserve"> год в сумме </w:t>
      </w:r>
      <w:r w:rsidR="00C35EC5">
        <w:rPr>
          <w:sz w:val="28"/>
          <w:szCs w:val="28"/>
        </w:rPr>
        <w:t>2 707 480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 w:rsidR="008D0081">
        <w:rPr>
          <w:rFonts w:ascii="Times New Roman" w:hAnsi="Times New Roman"/>
          <w:b/>
          <w:sz w:val="28"/>
          <w:szCs w:val="28"/>
        </w:rPr>
        <w:t>24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 Конышевского района Курской облас</w:t>
      </w:r>
      <w:r w:rsidR="00B21451">
        <w:rPr>
          <w:rFonts w:ascii="Times New Roman" w:hAnsi="Times New Roman"/>
          <w:sz w:val="28"/>
          <w:szCs w:val="28"/>
        </w:rPr>
        <w:t>ти по состоянию на 1 января 2024</w:t>
      </w:r>
      <w:r>
        <w:rPr>
          <w:rFonts w:ascii="Times New Roman" w:hAnsi="Times New Roman"/>
          <w:sz w:val="28"/>
          <w:szCs w:val="28"/>
        </w:rPr>
        <w:t xml:space="preserve"> года на счете бюджета поселка Конышевка Конышевского района Курской области, образовавшиеся в связи с неполным использованием получателями средств бюджета поселка Конышевка Конышевскогорайона Кур</w:t>
      </w:r>
      <w:r w:rsidR="00B21451">
        <w:rPr>
          <w:rFonts w:ascii="Times New Roman" w:hAnsi="Times New Roman"/>
          <w:sz w:val="28"/>
          <w:szCs w:val="28"/>
        </w:rPr>
        <w:t>ской области направляются в 2024</w:t>
      </w:r>
      <w:r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в соответствии с пунктом 3 статьи 217 Бюджетного код</w:t>
      </w:r>
      <w:r w:rsidR="009D019E">
        <w:rPr>
          <w:rFonts w:ascii="Times New Roman" w:hAnsi="Times New Roman"/>
          <w:sz w:val="28"/>
          <w:szCs w:val="28"/>
        </w:rPr>
        <w:t>екса Российской Федерации в 2023</w:t>
      </w:r>
      <w:r>
        <w:rPr>
          <w:rFonts w:ascii="Times New Roman" w:hAnsi="Times New Roman"/>
          <w:sz w:val="28"/>
          <w:szCs w:val="28"/>
        </w:rPr>
        <w:t xml:space="preserve">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  <w:r w:rsidR="00110C2E" w:rsidRPr="00110C2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 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lastRenderedPageBreak/>
        <w:t>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</w:t>
      </w:r>
      <w:r w:rsidR="00324731">
        <w:rPr>
          <w:rFonts w:ascii="Times New Roman" w:eastAsia="Times New Roman" w:hAnsi="Times New Roman"/>
          <w:bCs/>
          <w:sz w:val="28"/>
          <w:szCs w:val="28"/>
        </w:rPr>
        <w:t>риальной мотивации муниципальных</w:t>
      </w:r>
      <w:r w:rsidR="009D019E">
        <w:rPr>
          <w:rFonts w:ascii="Times New Roman" w:eastAsia="Times New Roman" w:hAnsi="Times New Roman"/>
          <w:bCs/>
          <w:sz w:val="28"/>
          <w:szCs w:val="28"/>
        </w:rPr>
        <w:t xml:space="preserve"> служащих, на </w:t>
      </w:r>
      <w:r w:rsidR="008D0081">
        <w:rPr>
          <w:rFonts w:ascii="Times New Roman" w:eastAsia="Times New Roman" w:hAnsi="Times New Roman"/>
          <w:bCs/>
          <w:sz w:val="28"/>
          <w:szCs w:val="28"/>
        </w:rPr>
        <w:t>2024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8D0081">
        <w:rPr>
          <w:rFonts w:ascii="Times New Roman" w:eastAsia="Times New Roman" w:hAnsi="Times New Roman"/>
          <w:bCs/>
          <w:sz w:val="28"/>
          <w:szCs w:val="28"/>
        </w:rPr>
        <w:t>, на 2025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8D0081">
        <w:rPr>
          <w:rFonts w:ascii="Times New Roman" w:eastAsia="Times New Roman" w:hAnsi="Times New Roman"/>
          <w:bCs/>
          <w:sz w:val="28"/>
          <w:szCs w:val="28"/>
        </w:rPr>
        <w:t>, на 2026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 xml:space="preserve">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2A17EF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0EF2"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506392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506392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</w:t>
      </w:r>
      <w:r w:rsidR="00310EF2" w:rsidRPr="008650FE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бюджета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</w:t>
      </w:r>
      <w:r w:rsidR="00310EF2"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 Администрацией</w:t>
      </w:r>
      <w:r w:rsidR="00310EF2" w:rsidRPr="008650FE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 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9D019E" w:rsidRPr="00A44E76" w:rsidRDefault="009D019E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="006915EC">
        <w:rPr>
          <w:rFonts w:ascii="Times New Roman" w:hAnsi="Times New Roman" w:cs="Times New Roman"/>
          <w:sz w:val="28"/>
          <w:szCs w:val="28"/>
        </w:rPr>
        <w:t xml:space="preserve"> Курской области на 2024</w:t>
      </w:r>
      <w:r w:rsidRPr="00A44E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 w:rsidR="006915EC">
        <w:rPr>
          <w:rFonts w:ascii="Times New Roman" w:hAnsi="Times New Roman"/>
          <w:sz w:val="28"/>
          <w:szCs w:val="28"/>
        </w:rPr>
        <w:t xml:space="preserve"> 35416 рублей</w:t>
      </w:r>
      <w:r w:rsidR="009D019E">
        <w:rPr>
          <w:rFonts w:ascii="Times New Roman" w:hAnsi="Times New Roman"/>
          <w:sz w:val="28"/>
          <w:szCs w:val="28"/>
        </w:rPr>
        <w:t xml:space="preserve"> </w:t>
      </w:r>
      <w:r w:rsidRPr="00A44E76">
        <w:rPr>
          <w:rFonts w:ascii="Times New Roman" w:hAnsi="Times New Roman" w:cs="Times New Roman"/>
          <w:sz w:val="28"/>
          <w:szCs w:val="28"/>
        </w:rPr>
        <w:t>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форме иных межбюджетных трансфертов на выполнение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переданных полномочий на уровень Конышевского муниципа</w:t>
      </w:r>
      <w:r w:rsidR="006915EC">
        <w:rPr>
          <w:rFonts w:ascii="Times New Roman" w:hAnsi="Times New Roman" w:cs="Times New Roman"/>
          <w:sz w:val="28"/>
          <w:szCs w:val="28"/>
        </w:rPr>
        <w:t>льного района  на 2024 год 35416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</w:t>
      </w:r>
      <w:r w:rsidR="006915EC">
        <w:rPr>
          <w:sz w:val="28"/>
          <w:szCs w:val="28"/>
        </w:rPr>
        <w:t>, приводящие к увеличению в 2024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8F63BB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6915EC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6915EC">
        <w:rPr>
          <w:rFonts w:ascii="Times New Roman" w:hAnsi="Times New Roman"/>
          <w:sz w:val="28"/>
          <w:szCs w:val="28"/>
        </w:rPr>
        <w:t xml:space="preserve">13 657 </w:t>
      </w:r>
      <w:r w:rsidR="00C35EC5">
        <w:rPr>
          <w:rFonts w:ascii="Times New Roman" w:hAnsi="Times New Roman"/>
          <w:sz w:val="28"/>
          <w:szCs w:val="28"/>
        </w:rPr>
        <w:t>928</w:t>
      </w:r>
      <w:r w:rsidR="009D019E">
        <w:rPr>
          <w:rFonts w:ascii="Times New Roman" w:hAnsi="Times New Roman"/>
          <w:sz w:val="28"/>
          <w:szCs w:val="28"/>
        </w:rPr>
        <w:t xml:space="preserve">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915EC">
        <w:rPr>
          <w:rFonts w:ascii="Times New Roman" w:hAnsi="Times New Roman"/>
          <w:sz w:val="28"/>
          <w:szCs w:val="28"/>
        </w:rPr>
        <w:t>5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C35EC5">
        <w:rPr>
          <w:rFonts w:ascii="Times New Roman" w:hAnsi="Times New Roman"/>
          <w:sz w:val="28"/>
          <w:szCs w:val="28"/>
        </w:rPr>
        <w:t xml:space="preserve"> 14 251 961</w:t>
      </w:r>
      <w:r w:rsidR="009D019E">
        <w:rPr>
          <w:rFonts w:ascii="Times New Roman" w:hAnsi="Times New Roman"/>
          <w:sz w:val="28"/>
          <w:szCs w:val="28"/>
        </w:rPr>
        <w:t xml:space="preserve">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C35EC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;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6915EC">
        <w:rPr>
          <w:rFonts w:ascii="Times New Roman" w:hAnsi="Times New Roman"/>
          <w:sz w:val="28"/>
          <w:szCs w:val="28"/>
        </w:rPr>
        <w:t>2026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 w:rsidR="009D019E">
        <w:rPr>
          <w:rFonts w:ascii="Times New Roman" w:hAnsi="Times New Roman"/>
          <w:sz w:val="28"/>
          <w:szCs w:val="28"/>
        </w:rPr>
        <w:t xml:space="preserve">до </w:t>
      </w:r>
      <w:r w:rsidR="00C35EC5">
        <w:rPr>
          <w:rFonts w:ascii="Times New Roman" w:hAnsi="Times New Roman"/>
          <w:sz w:val="28"/>
          <w:szCs w:val="28"/>
        </w:rPr>
        <w:t>14 831 383</w:t>
      </w:r>
      <w:r w:rsidR="006915EC">
        <w:rPr>
          <w:rFonts w:ascii="Times New Roman" w:hAnsi="Times New Roman"/>
          <w:sz w:val="28"/>
          <w:szCs w:val="28"/>
        </w:rPr>
        <w:t xml:space="preserve"> рубля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C80248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6915EC">
        <w:rPr>
          <w:rFonts w:ascii="Times New Roman" w:hAnsi="Times New Roman" w:cs="Times New Roman"/>
          <w:sz w:val="28"/>
          <w:szCs w:val="28"/>
        </w:rPr>
        <w:t>7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</w:t>
      </w:r>
      <w:r w:rsidR="006915EC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6915EC">
        <w:rPr>
          <w:rFonts w:ascii="Times New Roman" w:hAnsi="Times New Roman" w:cs="Times New Roman"/>
          <w:sz w:val="28"/>
          <w:szCs w:val="28"/>
        </w:rPr>
        <w:t>24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6915EC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0439" w:rsidRPr="00164DA0" w:rsidRDefault="003B28C1" w:rsidP="00360439">
      <w:pPr>
        <w:pStyle w:val="ad"/>
        <w:widowControl w:val="0"/>
        <w:suppressAutoHyphens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       </w:t>
      </w:r>
      <w:r w:rsidR="00360439" w:rsidRPr="003B28C1">
        <w:rPr>
          <w:rFonts w:ascii="Times New Roman" w:hAnsi="Times New Roman"/>
          <w:sz w:val="28"/>
          <w:szCs w:val="28"/>
        </w:rPr>
        <w:t xml:space="preserve">Настоящее Решение вступает в силу  со дня подписания и </w:t>
      </w:r>
      <w:r w:rsidR="00360439" w:rsidRPr="003B28C1">
        <w:rPr>
          <w:rFonts w:ascii="Times New Roman" w:hAnsi="Times New Roman"/>
          <w:sz w:val="28"/>
          <w:szCs w:val="28"/>
        </w:rPr>
        <w:lastRenderedPageBreak/>
        <w:t xml:space="preserve">подлежит размещению на официальном сайте администрации </w:t>
      </w:r>
      <w:r w:rsidR="00360439">
        <w:rPr>
          <w:rFonts w:ascii="Times New Roman" w:hAnsi="Times New Roman"/>
          <w:sz w:val="28"/>
          <w:szCs w:val="28"/>
        </w:rPr>
        <w:t xml:space="preserve">поселка Конышевка </w:t>
      </w:r>
      <w:r w:rsidR="00360439" w:rsidRPr="003B28C1">
        <w:rPr>
          <w:rFonts w:ascii="Times New Roman" w:hAnsi="Times New Roman"/>
          <w:sz w:val="28"/>
          <w:szCs w:val="28"/>
        </w:rPr>
        <w:t xml:space="preserve">Конышевского района Курской области           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C35EC5" w:rsidRDefault="00C35EC5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C35EC5" w:rsidRDefault="00C35EC5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B96D89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p w:rsidR="000D5B4A" w:rsidRPr="000D5B4A" w:rsidRDefault="000D5B4A" w:rsidP="009A30EA">
      <w:pPr>
        <w:pStyle w:val="af"/>
        <w:spacing w:after="0"/>
        <w:rPr>
          <w:sz w:val="28"/>
          <w:szCs w:val="28"/>
        </w:rPr>
      </w:pPr>
    </w:p>
    <w:sectPr w:rsidR="000D5B4A" w:rsidRPr="000D5B4A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89A" w:rsidRDefault="00E3189A" w:rsidP="007E2796">
      <w:r>
        <w:separator/>
      </w:r>
    </w:p>
  </w:endnote>
  <w:endnote w:type="continuationSeparator" w:id="1">
    <w:p w:rsidR="00E3189A" w:rsidRDefault="00E3189A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89A" w:rsidRDefault="00E3189A" w:rsidP="007E2796">
      <w:r>
        <w:separator/>
      </w:r>
    </w:p>
  </w:footnote>
  <w:footnote w:type="continuationSeparator" w:id="1">
    <w:p w:rsidR="00E3189A" w:rsidRDefault="00E3189A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4F654C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491BA1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D21"/>
    <w:rsid w:val="00074F71"/>
    <w:rsid w:val="00081CFE"/>
    <w:rsid w:val="00082B21"/>
    <w:rsid w:val="00086320"/>
    <w:rsid w:val="000877C5"/>
    <w:rsid w:val="00087A23"/>
    <w:rsid w:val="000906BD"/>
    <w:rsid w:val="0009071D"/>
    <w:rsid w:val="00090A19"/>
    <w:rsid w:val="00093403"/>
    <w:rsid w:val="0009465E"/>
    <w:rsid w:val="0009500F"/>
    <w:rsid w:val="00096F78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5B4A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52B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2ED0"/>
    <w:rsid w:val="001F3274"/>
    <w:rsid w:val="001F405E"/>
    <w:rsid w:val="001F4393"/>
    <w:rsid w:val="001F54DD"/>
    <w:rsid w:val="0020088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7EF"/>
    <w:rsid w:val="002A1A67"/>
    <w:rsid w:val="002A2EBF"/>
    <w:rsid w:val="002A3AC1"/>
    <w:rsid w:val="002A7B42"/>
    <w:rsid w:val="002B2DB0"/>
    <w:rsid w:val="002B4550"/>
    <w:rsid w:val="002B50DA"/>
    <w:rsid w:val="002B5208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2B08"/>
    <w:rsid w:val="00324731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56C76"/>
    <w:rsid w:val="00360439"/>
    <w:rsid w:val="00362173"/>
    <w:rsid w:val="0036255E"/>
    <w:rsid w:val="00362668"/>
    <w:rsid w:val="00366903"/>
    <w:rsid w:val="0036768A"/>
    <w:rsid w:val="00367D08"/>
    <w:rsid w:val="00370D96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015C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03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1FE6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1BA1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4F654C"/>
    <w:rsid w:val="005035D9"/>
    <w:rsid w:val="00503EFD"/>
    <w:rsid w:val="00506392"/>
    <w:rsid w:val="0050774C"/>
    <w:rsid w:val="0051024D"/>
    <w:rsid w:val="00510F5E"/>
    <w:rsid w:val="00511D0D"/>
    <w:rsid w:val="005158CB"/>
    <w:rsid w:val="00521BA9"/>
    <w:rsid w:val="00521CB5"/>
    <w:rsid w:val="0052305D"/>
    <w:rsid w:val="00525800"/>
    <w:rsid w:val="00525DEE"/>
    <w:rsid w:val="00527029"/>
    <w:rsid w:val="005310F3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9678B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4ED"/>
    <w:rsid w:val="00601B1D"/>
    <w:rsid w:val="0060520F"/>
    <w:rsid w:val="006053D6"/>
    <w:rsid w:val="0061124E"/>
    <w:rsid w:val="0061727D"/>
    <w:rsid w:val="00617C70"/>
    <w:rsid w:val="00621D0E"/>
    <w:rsid w:val="00622302"/>
    <w:rsid w:val="0062420D"/>
    <w:rsid w:val="00624248"/>
    <w:rsid w:val="006265EA"/>
    <w:rsid w:val="00626DAB"/>
    <w:rsid w:val="0062757F"/>
    <w:rsid w:val="00631F7A"/>
    <w:rsid w:val="00633C4E"/>
    <w:rsid w:val="00640653"/>
    <w:rsid w:val="006410B6"/>
    <w:rsid w:val="00644B7E"/>
    <w:rsid w:val="00650D09"/>
    <w:rsid w:val="0065153C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915EC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42C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10D9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081"/>
    <w:rsid w:val="008D0646"/>
    <w:rsid w:val="008D3193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4FB9"/>
    <w:rsid w:val="00935B2C"/>
    <w:rsid w:val="00935C87"/>
    <w:rsid w:val="0093654C"/>
    <w:rsid w:val="0093728F"/>
    <w:rsid w:val="00937D82"/>
    <w:rsid w:val="00941902"/>
    <w:rsid w:val="00942433"/>
    <w:rsid w:val="009429D2"/>
    <w:rsid w:val="00943601"/>
    <w:rsid w:val="009445B1"/>
    <w:rsid w:val="00946291"/>
    <w:rsid w:val="00946B4A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34E7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019E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459"/>
    <w:rsid w:val="00A36F34"/>
    <w:rsid w:val="00A37B85"/>
    <w:rsid w:val="00A4046A"/>
    <w:rsid w:val="00A40645"/>
    <w:rsid w:val="00A41019"/>
    <w:rsid w:val="00A415A6"/>
    <w:rsid w:val="00A41F23"/>
    <w:rsid w:val="00A43579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0A22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864F5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1E0B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451"/>
    <w:rsid w:val="00B215CD"/>
    <w:rsid w:val="00B21BD0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1F"/>
    <w:rsid w:val="00B56C9E"/>
    <w:rsid w:val="00B56FC2"/>
    <w:rsid w:val="00B57834"/>
    <w:rsid w:val="00B57EB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67F13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5839"/>
    <w:rsid w:val="00C26B0F"/>
    <w:rsid w:val="00C30680"/>
    <w:rsid w:val="00C319B4"/>
    <w:rsid w:val="00C35D52"/>
    <w:rsid w:val="00C35EC5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004B"/>
    <w:rsid w:val="00CA2471"/>
    <w:rsid w:val="00CA2A40"/>
    <w:rsid w:val="00CA33CC"/>
    <w:rsid w:val="00CA3EB9"/>
    <w:rsid w:val="00CA7628"/>
    <w:rsid w:val="00CB14A4"/>
    <w:rsid w:val="00CB4901"/>
    <w:rsid w:val="00CB6738"/>
    <w:rsid w:val="00CB6DCC"/>
    <w:rsid w:val="00CB73B3"/>
    <w:rsid w:val="00CC266D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37D18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246F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A16"/>
    <w:rsid w:val="00DA6D3F"/>
    <w:rsid w:val="00DA6F64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4B6A"/>
    <w:rsid w:val="00E159F5"/>
    <w:rsid w:val="00E15C73"/>
    <w:rsid w:val="00E2149D"/>
    <w:rsid w:val="00E25B62"/>
    <w:rsid w:val="00E27D1D"/>
    <w:rsid w:val="00E3189A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3213"/>
    <w:rsid w:val="00F54EA9"/>
    <w:rsid w:val="00F552EA"/>
    <w:rsid w:val="00F55FC5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AA0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B9697-47C2-449B-9806-2EB8E9A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51</cp:revision>
  <cp:lastPrinted>2023-11-22T09:07:00Z</cp:lastPrinted>
  <dcterms:created xsi:type="dcterms:W3CDTF">2021-01-26T14:22:00Z</dcterms:created>
  <dcterms:modified xsi:type="dcterms:W3CDTF">2024-01-29T11:40:00Z</dcterms:modified>
</cp:coreProperties>
</file>