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2A1A67">
        <w:rPr>
          <w:rFonts w:ascii="Times New Roman" w:hAnsi="Times New Roman"/>
          <w:b/>
          <w:bCs/>
          <w:sz w:val="28"/>
          <w:szCs w:val="28"/>
        </w:rPr>
        <w:t xml:space="preserve">16 декабря  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2019г.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2A1A67">
        <w:rPr>
          <w:rFonts w:ascii="Times New Roman" w:hAnsi="Times New Roman"/>
          <w:b/>
          <w:bCs/>
          <w:sz w:val="28"/>
          <w:szCs w:val="28"/>
        </w:rPr>
        <w:t>166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61AE2" w:rsidRPr="003C226B" w:rsidRDefault="009954A6" w:rsidP="003C226B">
      <w:pPr>
        <w:widowControl w:val="0"/>
        <w:ind w:firstLine="709"/>
        <w:jc w:val="right"/>
        <w:rPr>
          <w:color w:val="FFFFFF" w:themeColor="background1"/>
          <w:sz w:val="28"/>
          <w:szCs w:val="28"/>
        </w:rPr>
      </w:pPr>
      <w:r w:rsidRPr="008650FE">
        <w:rPr>
          <w:color w:val="FFFFFF" w:themeColor="background1"/>
          <w:sz w:val="28"/>
          <w:szCs w:val="28"/>
        </w:rPr>
        <w:t>ПРОЕ</w:t>
      </w:r>
      <w:r w:rsidRPr="008650FE">
        <w:rPr>
          <w:caps/>
          <w:color w:val="FFFFFF" w:themeColor="background1"/>
          <w:spacing w:val="80"/>
          <w:sz w:val="40"/>
          <w:szCs w:val="40"/>
        </w:rPr>
        <w:t>Закон</w:t>
      </w:r>
    </w:p>
    <w:p w:rsidR="003D512E" w:rsidRPr="00C75EEB" w:rsidRDefault="003D512E" w:rsidP="0062420D">
      <w:pPr>
        <w:widowControl w:val="0"/>
        <w:ind w:firstLine="709"/>
        <w:rPr>
          <w:vanish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 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046140" w:rsidRPr="008650FE">
        <w:rPr>
          <w:rFonts w:ascii="Times New Roman" w:hAnsi="Times New Roman"/>
          <w:bCs/>
          <w:sz w:val="28"/>
          <w:szCs w:val="28"/>
        </w:rPr>
        <w:t>20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A1A67">
        <w:rPr>
          <w:rFonts w:ascii="Times New Roman" w:hAnsi="Times New Roman"/>
          <w:bCs/>
          <w:sz w:val="28"/>
          <w:szCs w:val="28"/>
        </w:rPr>
        <w:t>13 470 499</w:t>
      </w:r>
      <w:r w:rsidR="00090A19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B64EA4" w:rsidRPr="00B64EA4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A1A67">
        <w:rPr>
          <w:rFonts w:ascii="Times New Roman" w:hAnsi="Times New Roman"/>
          <w:bCs/>
          <w:sz w:val="28"/>
          <w:szCs w:val="28"/>
        </w:rPr>
        <w:t>13 470 499</w:t>
      </w:r>
      <w:r w:rsidR="00650D09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0324F7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B64EA4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 w:rsidRPr="00B64EA4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64EA4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052F07">
        <w:rPr>
          <w:rFonts w:ascii="Times New Roman" w:hAnsi="Times New Roman"/>
          <w:bCs/>
          <w:sz w:val="28"/>
          <w:szCs w:val="28"/>
        </w:rPr>
        <w:t>12 251 061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рубль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052F07">
        <w:rPr>
          <w:rFonts w:ascii="Times New Roman" w:hAnsi="Times New Roman"/>
          <w:bCs/>
          <w:sz w:val="28"/>
          <w:szCs w:val="28"/>
        </w:rPr>
        <w:t xml:space="preserve"> 12 725 869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052F07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052F07">
        <w:rPr>
          <w:rFonts w:ascii="Times New Roman" w:hAnsi="Times New Roman"/>
          <w:bCs/>
          <w:sz w:val="28"/>
          <w:szCs w:val="28"/>
        </w:rPr>
        <w:t>12 251 061</w:t>
      </w:r>
      <w:r w:rsidR="005C4E46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рубль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306277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9A30EA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0324F7">
        <w:rPr>
          <w:rFonts w:ascii="Times New Roman" w:hAnsi="Times New Roman"/>
          <w:bCs/>
          <w:sz w:val="28"/>
          <w:szCs w:val="28"/>
        </w:rPr>
        <w:t xml:space="preserve">12 725 869 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0324F7">
        <w:rPr>
          <w:rFonts w:ascii="Times New Roman" w:hAnsi="Times New Roman"/>
          <w:bCs/>
          <w:sz w:val="28"/>
          <w:szCs w:val="28"/>
        </w:rPr>
        <w:t>636 293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B125FC" w:rsidRPr="008650FE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8D41D1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 (</w:t>
      </w:r>
      <w:r w:rsidR="00F00A4F" w:rsidRPr="008650FE">
        <w:rPr>
          <w:rFonts w:ascii="Times New Roman" w:hAnsi="Times New Roman"/>
          <w:bCs/>
          <w:sz w:val="28"/>
          <w:szCs w:val="28"/>
        </w:rPr>
        <w:t>профицит</w:t>
      </w:r>
      <w:r w:rsidRPr="008650FE">
        <w:rPr>
          <w:rFonts w:ascii="Times New Roman" w:hAnsi="Times New Roman"/>
          <w:bCs/>
          <w:sz w:val="28"/>
          <w:szCs w:val="28"/>
        </w:rPr>
        <w:t>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 w:rsidRPr="000324F7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6265EA" w:rsidRPr="008650FE">
        <w:rPr>
          <w:rFonts w:ascii="Times New Roman" w:hAnsi="Times New Roman"/>
          <w:bCs/>
          <w:sz w:val="28"/>
          <w:szCs w:val="28"/>
        </w:rPr>
        <w:t>1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A51073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0</w:t>
      </w:r>
      <w:r w:rsidR="006265EA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 (</w:t>
      </w:r>
      <w:r w:rsidR="009C1CA0" w:rsidRPr="008650FE">
        <w:rPr>
          <w:rFonts w:ascii="Times New Roman" w:hAnsi="Times New Roman"/>
          <w:bCs/>
          <w:sz w:val="28"/>
          <w:szCs w:val="28"/>
        </w:rPr>
        <w:t>профицит</w:t>
      </w:r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6265EA" w:rsidRPr="008650FE">
        <w:rPr>
          <w:rFonts w:ascii="Times New Roman" w:hAnsi="Times New Roman"/>
          <w:bCs/>
          <w:sz w:val="28"/>
          <w:szCs w:val="28"/>
        </w:rPr>
        <w:t>2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>Источники финансирования дефицита бюджета</w:t>
      </w:r>
      <w:r w:rsidR="000324F7" w:rsidRPr="000324F7">
        <w:rPr>
          <w:rFonts w:ascii="Times New Roman" w:hAnsi="Times New Roman"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Утвердить источники финансирования дефицита бюджета</w:t>
      </w:r>
      <w:r w:rsidR="000324F7" w:rsidRPr="000324F7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6265EA" w:rsidRPr="008650FE">
        <w:rPr>
          <w:sz w:val="28"/>
          <w:szCs w:val="28"/>
        </w:rPr>
        <w:t>20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6265EA" w:rsidRPr="008650FE">
        <w:rPr>
          <w:sz w:val="28"/>
          <w:szCs w:val="28"/>
        </w:rPr>
        <w:t>1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6265EA" w:rsidRPr="008650FE">
        <w:rPr>
          <w:sz w:val="28"/>
          <w:szCs w:val="28"/>
        </w:rPr>
        <w:t>2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CE3A77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>Главные администраторы доходов бюджета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финансирования дефицита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1. Утвердить перечень главных администраторов доходов бюджета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="00A64CE4" w:rsidRPr="008650FE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Pr="008650FE">
        <w:rPr>
          <w:sz w:val="28"/>
          <w:szCs w:val="28"/>
        </w:rPr>
        <w:t>.</w:t>
      </w: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2. Утвердить перечень главных </w:t>
      </w:r>
      <w:proofErr w:type="gramStart"/>
      <w:r w:rsidRPr="008650FE">
        <w:rPr>
          <w:sz w:val="28"/>
          <w:szCs w:val="28"/>
        </w:rPr>
        <w:t>администраторов источников финансирования дефицита бюджета</w:t>
      </w:r>
      <w:r w:rsidR="00A64CE4" w:rsidRPr="00A64CE4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</w:t>
      </w:r>
      <w:proofErr w:type="gramEnd"/>
      <w:r w:rsidR="00A64CE4">
        <w:rPr>
          <w:bCs/>
          <w:sz w:val="28"/>
          <w:szCs w:val="28"/>
        </w:rPr>
        <w:t xml:space="preserve"> Конышевка Конышевского района Курской области</w:t>
      </w:r>
      <w:r w:rsidRPr="008650FE">
        <w:rPr>
          <w:sz w:val="28"/>
          <w:szCs w:val="28"/>
        </w:rPr>
        <w:t xml:space="preserve"> согласно пр</w:t>
      </w:r>
      <w:r w:rsidR="00A64CE4">
        <w:rPr>
          <w:sz w:val="28"/>
          <w:szCs w:val="28"/>
        </w:rPr>
        <w:t>иложению № 4 к настоящему Решению</w:t>
      </w:r>
      <w:r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Особенности администрирования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A64CE4" w:rsidRPr="008650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A64CE4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средства, поступающие получателям бюджетных сре</w:t>
      </w:r>
      <w:proofErr w:type="gramStart"/>
      <w:r w:rsidR="0016639E" w:rsidRPr="008650FE">
        <w:rPr>
          <w:rFonts w:ascii="Times New Roman" w:hAnsi="Times New Roman"/>
          <w:sz w:val="28"/>
          <w:szCs w:val="28"/>
        </w:rPr>
        <w:t>дств в п</w:t>
      </w:r>
      <w:proofErr w:type="gramEnd"/>
      <w:r w:rsidR="0016639E" w:rsidRPr="008650FE">
        <w:rPr>
          <w:rFonts w:ascii="Times New Roman" w:hAnsi="Times New Roman"/>
          <w:sz w:val="28"/>
          <w:szCs w:val="28"/>
        </w:rPr>
        <w:t>огашение дебиторской задолженности прошлых лет, в полном объеме зачисляются в доход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16639E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поступающие казенным учреждениям добровольные взносы и пожертвования (безвозмездные поступления) в полном объеме зачисляются в доход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 xml:space="preserve"> и направляются на финансирование в соответствии с целями их предоставления, за исключением расходов на содержание органов государственной власти.</w:t>
      </w:r>
    </w:p>
    <w:p w:rsidR="00B42153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2153" w:rsidRPr="008650FE">
        <w:rPr>
          <w:rFonts w:ascii="Times New Roman" w:hAnsi="Times New Roman"/>
          <w:sz w:val="28"/>
          <w:szCs w:val="28"/>
        </w:rPr>
        <w:t>.</w:t>
      </w:r>
      <w:r w:rsidR="00A36F34" w:rsidRPr="008650FE">
        <w:rPr>
          <w:rFonts w:ascii="Times New Roman" w:hAnsi="Times New Roman"/>
          <w:sz w:val="28"/>
          <w:szCs w:val="28"/>
        </w:rPr>
        <w:t> </w:t>
      </w:r>
      <w:proofErr w:type="gramStart"/>
      <w:r w:rsidR="00B42153" w:rsidRPr="008650FE">
        <w:rPr>
          <w:rFonts w:ascii="Times New Roman" w:hAnsi="Times New Roman"/>
          <w:sz w:val="28"/>
          <w:szCs w:val="28"/>
        </w:rPr>
        <w:t>Установить, что в 20</w:t>
      </w:r>
      <w:r w:rsidR="009C1CA0" w:rsidRPr="008650FE">
        <w:rPr>
          <w:rFonts w:ascii="Times New Roman" w:hAnsi="Times New Roman"/>
          <w:sz w:val="28"/>
          <w:szCs w:val="28"/>
        </w:rPr>
        <w:t>20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году невыясненные поступления, зачисленные в бюджет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 xml:space="preserve"> до 1 января 2016 года и по которым по состоянию на 1 января 20</w:t>
      </w:r>
      <w:r w:rsidR="009C1CA0" w:rsidRPr="008650FE">
        <w:rPr>
          <w:rFonts w:ascii="Times New Roman" w:hAnsi="Times New Roman"/>
          <w:sz w:val="28"/>
          <w:szCs w:val="28"/>
        </w:rPr>
        <w:t>20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не осуществлен возврат, зачет, уточнение, подлежат</w:t>
      </w:r>
      <w:r w:rsidR="002F6AB4" w:rsidRPr="008650FE">
        <w:rPr>
          <w:rFonts w:ascii="Times New Roman" w:hAnsi="Times New Roman"/>
          <w:sz w:val="28"/>
          <w:szCs w:val="28"/>
        </w:rPr>
        <w:t xml:space="preserve"> отражению</w:t>
      </w:r>
      <w:r w:rsidR="00343DD2" w:rsidRPr="008650FE">
        <w:rPr>
          <w:rFonts w:ascii="Times New Roman" w:hAnsi="Times New Roman"/>
          <w:sz w:val="28"/>
          <w:szCs w:val="28"/>
        </w:rPr>
        <w:t xml:space="preserve"> </w:t>
      </w:r>
      <w:r w:rsidR="002F6AB4" w:rsidRPr="008650FE">
        <w:rPr>
          <w:rFonts w:ascii="Times New Roman" w:hAnsi="Times New Roman"/>
          <w:sz w:val="28"/>
          <w:szCs w:val="28"/>
        </w:rPr>
        <w:t xml:space="preserve">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B42153" w:rsidRPr="008650FE">
        <w:rPr>
          <w:rFonts w:ascii="Times New Roman" w:hAnsi="Times New Roman"/>
          <w:sz w:val="28"/>
          <w:szCs w:val="28"/>
        </w:rPr>
        <w:t>по коду классификации доходов бюджетов, предусмотренному для учета прочих неналоговых доходов бюджета</w:t>
      </w:r>
      <w:proofErr w:type="gramEnd"/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.</w:t>
      </w:r>
    </w:p>
    <w:p w:rsidR="00B42153" w:rsidRPr="008650FE" w:rsidRDefault="00A64CE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518A8" w:rsidRPr="008650FE">
        <w:rPr>
          <w:sz w:val="28"/>
          <w:szCs w:val="28"/>
        </w:rPr>
        <w:t>.</w:t>
      </w:r>
      <w:r w:rsidR="00A36F34" w:rsidRPr="008650FE">
        <w:rPr>
          <w:sz w:val="28"/>
          <w:szCs w:val="28"/>
        </w:rPr>
        <w:t> </w:t>
      </w:r>
      <w:r w:rsidR="00145DC6" w:rsidRPr="008650FE">
        <w:rPr>
          <w:sz w:val="28"/>
          <w:szCs w:val="28"/>
        </w:rPr>
        <w:t>Установить, что указ</w:t>
      </w:r>
      <w:r>
        <w:rPr>
          <w:sz w:val="28"/>
          <w:szCs w:val="28"/>
        </w:rPr>
        <w:t>анные в части 3</w:t>
      </w:r>
      <w:r w:rsidR="00145DC6" w:rsidRPr="008650FE">
        <w:rPr>
          <w:sz w:val="28"/>
          <w:szCs w:val="28"/>
        </w:rPr>
        <w:t xml:space="preserve"> настоящей статьи прочие неналоговые доходы бюджета</w:t>
      </w:r>
      <w:r w:rsidRPr="00A64C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поселка Конышевка Конышевского района Курской области</w:t>
      </w:r>
      <w:r w:rsidR="00145DC6" w:rsidRPr="008650FE">
        <w:rPr>
          <w:sz w:val="28"/>
          <w:szCs w:val="28"/>
        </w:rPr>
        <w:t xml:space="preserve"> возврату, зачету, уточнению не подлежат.</w:t>
      </w:r>
    </w:p>
    <w:p w:rsidR="00E47AED" w:rsidRDefault="00E47AE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Pr="008650FE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A9F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5.</w:t>
      </w:r>
      <w:r w:rsidR="00414720" w:rsidRPr="008650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Прогнозируемое поступление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>бюджета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Утвердить прогнозируемое поступление доходов в бюджет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>:</w:t>
      </w:r>
    </w:p>
    <w:p w:rsidR="0016639E" w:rsidRPr="008650FE" w:rsidRDefault="008B6518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Cs/>
          <w:sz w:val="28"/>
          <w:szCs w:val="28"/>
        </w:rPr>
        <w:t>20</w:t>
      </w:r>
      <w:r w:rsidR="0016639E" w:rsidRPr="008650FE">
        <w:rPr>
          <w:rFonts w:ascii="Times New Roman" w:hAnsi="Times New Roman"/>
          <w:bCs/>
          <w:sz w:val="28"/>
          <w:szCs w:val="28"/>
        </w:rPr>
        <w:t xml:space="preserve"> году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5 к настоящему Решению</w:t>
      </w:r>
      <w:r w:rsidR="0016639E" w:rsidRPr="008650FE">
        <w:rPr>
          <w:rFonts w:ascii="Times New Roman" w:hAnsi="Times New Roman"/>
          <w:bCs/>
          <w:sz w:val="28"/>
          <w:szCs w:val="28"/>
        </w:rPr>
        <w:t>;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265EA" w:rsidRPr="008650FE">
        <w:rPr>
          <w:rFonts w:ascii="Times New Roman" w:hAnsi="Times New Roman"/>
          <w:sz w:val="28"/>
          <w:szCs w:val="28"/>
        </w:rPr>
        <w:t>1</w:t>
      </w:r>
      <w:r w:rsidR="008B6518" w:rsidRPr="008650FE">
        <w:rPr>
          <w:rFonts w:ascii="Times New Roman" w:hAnsi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265EA" w:rsidRPr="008650FE">
        <w:rPr>
          <w:rFonts w:ascii="Times New Roman" w:hAnsi="Times New Roman"/>
          <w:sz w:val="28"/>
          <w:szCs w:val="28"/>
        </w:rPr>
        <w:t>2</w:t>
      </w:r>
      <w:r w:rsidRPr="008650FE">
        <w:rPr>
          <w:rFonts w:ascii="Times New Roman" w:hAnsi="Times New Roman"/>
          <w:sz w:val="28"/>
          <w:szCs w:val="28"/>
        </w:rPr>
        <w:t xml:space="preserve"> годов</w:t>
      </w:r>
      <w:r w:rsidRPr="008650FE">
        <w:rPr>
          <w:rFonts w:ascii="Times New Roman" w:hAnsi="Times New Roman"/>
          <w:bCs/>
          <w:sz w:val="28"/>
          <w:szCs w:val="28"/>
        </w:rPr>
        <w:t xml:space="preserve">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6 к настоящему Решению</w:t>
      </w:r>
      <w:r w:rsidRPr="008650FE">
        <w:rPr>
          <w:rFonts w:ascii="Times New Roman" w:hAnsi="Times New Roman"/>
          <w:bCs/>
          <w:sz w:val="28"/>
          <w:szCs w:val="28"/>
        </w:rPr>
        <w:t>.</w:t>
      </w:r>
      <w:r w:rsidR="001C1A37" w:rsidRPr="008650FE">
        <w:rPr>
          <w:rFonts w:ascii="Times New Roman" w:hAnsi="Times New Roman"/>
          <w:bCs/>
          <w:sz w:val="28"/>
          <w:szCs w:val="28"/>
        </w:rPr>
        <w:t xml:space="preserve"> </w:t>
      </w:r>
    </w:p>
    <w:p w:rsidR="00081CFE" w:rsidRPr="008650FE" w:rsidRDefault="00081CF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6639E" w:rsidRPr="008650FE" w:rsidRDefault="009B77B7" w:rsidP="00EC581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0FE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595A2F" w:rsidRPr="008650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="00453574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>ассигнования</w:t>
      </w:r>
      <w:r w:rsidR="00453574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3A9F" w:rsidRPr="008650FE" w:rsidRDefault="00413A9F" w:rsidP="009A30EA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 Утвердить распределение бюджетных ассигнований</w:t>
      </w:r>
      <w:r w:rsidR="00CD24E5" w:rsidRPr="008650FE">
        <w:rPr>
          <w:rFonts w:ascii="Times New Roman" w:hAnsi="Times New Roman"/>
          <w:sz w:val="28"/>
          <w:szCs w:val="28"/>
        </w:rPr>
        <w:t xml:space="preserve"> по разделам, подразделам, целевым стат</w:t>
      </w:r>
      <w:r w:rsidR="00EC5811">
        <w:rPr>
          <w:rFonts w:ascii="Times New Roman" w:hAnsi="Times New Roman"/>
          <w:sz w:val="28"/>
          <w:szCs w:val="28"/>
        </w:rPr>
        <w:t>ьям (государственным программам Администрации поселка Конышевка</w:t>
      </w:r>
      <w:r w:rsidR="00CD24E5" w:rsidRPr="008650FE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CD24E5" w:rsidRPr="008650FE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</w:t>
      </w:r>
      <w:proofErr w:type="gramEnd"/>
      <w:r w:rsidR="00EC5811">
        <w:rPr>
          <w:rFonts w:ascii="Times New Roman" w:hAnsi="Times New Roman"/>
          <w:bCs/>
          <w:sz w:val="28"/>
          <w:szCs w:val="28"/>
        </w:rPr>
        <w:t xml:space="preserve">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согласно приложению № 7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B5652" w:rsidRPr="008650FE">
        <w:rPr>
          <w:rFonts w:ascii="Times New Roman" w:hAnsi="Times New Roman" w:cs="Times New Roman"/>
          <w:sz w:val="28"/>
          <w:szCs w:val="28"/>
        </w:rPr>
        <w:t>2021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EC5811"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 w:rsidR="00EC5811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>: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10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EC58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3. Утвердить распределение бюджетных ассигнований по целевым статьям (государственным программам </w:t>
      </w:r>
      <w:r w:rsidR="00EC5811">
        <w:rPr>
          <w:rFonts w:ascii="Times New Roman" w:hAnsi="Times New Roman" w:cs="Times New Roman"/>
          <w:sz w:val="28"/>
          <w:szCs w:val="28"/>
        </w:rPr>
        <w:t>Администрации поселка Конышевка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8650FE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</w:t>
      </w:r>
      <w:proofErr w:type="gramEnd"/>
      <w:r w:rsidR="00EC5811">
        <w:rPr>
          <w:rFonts w:ascii="Times New Roman" w:hAnsi="Times New Roman"/>
          <w:bCs/>
          <w:sz w:val="28"/>
          <w:szCs w:val="28"/>
        </w:rPr>
        <w:t xml:space="preserve"> Конышевка Конышевского района Курской области</w:t>
      </w:r>
      <w:r w:rsidR="00EC5811">
        <w:rPr>
          <w:rFonts w:ascii="Times New Roman" w:hAnsi="Times New Roman" w:cs="Times New Roman"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B5652" w:rsidRPr="008650FE">
        <w:rPr>
          <w:rFonts w:ascii="Times New Roman" w:hAnsi="Times New Roman" w:cs="Times New Roman"/>
          <w:sz w:val="28"/>
          <w:szCs w:val="28"/>
        </w:rPr>
        <w:t>2021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C5811">
        <w:rPr>
          <w:rFonts w:ascii="Times New Roman" w:hAnsi="Times New Roman" w:cs="Times New Roman"/>
          <w:sz w:val="28"/>
          <w:szCs w:val="28"/>
        </w:rPr>
        <w:t>согласно приложению № 11 к настоящему Решению</w:t>
      </w:r>
      <w:r w:rsidR="00EC5811" w:rsidRPr="008650FE">
        <w:rPr>
          <w:rFonts w:ascii="Times New Roman" w:hAnsi="Times New Roman" w:cs="Times New Roman"/>
          <w:sz w:val="28"/>
          <w:szCs w:val="28"/>
        </w:rPr>
        <w:t>;</w:t>
      </w:r>
    </w:p>
    <w:p w:rsidR="00DE6C4F" w:rsidRPr="008650FE" w:rsidRDefault="00EC5811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B4381F" w:rsidRPr="008650FE">
        <w:rPr>
          <w:bCs/>
          <w:sz w:val="28"/>
          <w:szCs w:val="28"/>
        </w:rPr>
        <w:t>.</w:t>
      </w:r>
      <w:r w:rsidR="001E5E81" w:rsidRPr="008650FE">
        <w:rPr>
          <w:bCs/>
          <w:sz w:val="28"/>
          <w:szCs w:val="28"/>
        </w:rPr>
        <w:t> </w:t>
      </w:r>
      <w:r w:rsidR="00DE6C4F"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="00DE6C4F" w:rsidRPr="008650FE">
        <w:rPr>
          <w:sz w:val="28"/>
          <w:szCs w:val="28"/>
        </w:rPr>
        <w:t>:</w:t>
      </w:r>
    </w:p>
    <w:p w:rsidR="00DE6C4F" w:rsidRPr="008650FE" w:rsidRDefault="00DE6C4F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2020 год в сумме </w:t>
      </w:r>
      <w:r w:rsidR="001245F1">
        <w:rPr>
          <w:sz w:val="28"/>
          <w:szCs w:val="28"/>
        </w:rPr>
        <w:t>3</w:t>
      </w:r>
      <w:r w:rsidR="0038261D">
        <w:rPr>
          <w:sz w:val="28"/>
          <w:szCs w:val="28"/>
        </w:rPr>
        <w:t> 345 034</w:t>
      </w:r>
      <w:r w:rsidR="001245F1">
        <w:rPr>
          <w:sz w:val="28"/>
          <w:szCs w:val="28"/>
        </w:rPr>
        <w:t xml:space="preserve"> рубля</w:t>
      </w:r>
      <w:r w:rsidRPr="008650FE">
        <w:rPr>
          <w:sz w:val="28"/>
          <w:szCs w:val="28"/>
        </w:rPr>
        <w:t>, в том числе за счет:</w:t>
      </w:r>
    </w:p>
    <w:p w:rsidR="00DE6C4F" w:rsidRPr="008650FE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акцизов по подакцизными товарами (продукции), </w:t>
      </w:r>
      <w:proofErr w:type="gramStart"/>
      <w:r>
        <w:rPr>
          <w:sz w:val="28"/>
          <w:szCs w:val="28"/>
        </w:rPr>
        <w:t>производимым</w:t>
      </w:r>
      <w:proofErr w:type="gramEnd"/>
      <w:r>
        <w:rPr>
          <w:sz w:val="28"/>
          <w:szCs w:val="28"/>
        </w:rPr>
        <w:t xml:space="preserve"> на территории Р</w:t>
      </w:r>
      <w:r w:rsidR="007E47AF">
        <w:rPr>
          <w:sz w:val="28"/>
          <w:szCs w:val="28"/>
        </w:rPr>
        <w:t xml:space="preserve">оссийской Федерации, в сумме </w:t>
      </w:r>
      <w:r w:rsidR="002A1A67">
        <w:rPr>
          <w:sz w:val="28"/>
          <w:szCs w:val="28"/>
        </w:rPr>
        <w:t>1 027 243</w:t>
      </w:r>
      <w:r w:rsidR="00650D09">
        <w:rPr>
          <w:sz w:val="28"/>
          <w:szCs w:val="28"/>
        </w:rPr>
        <w:t xml:space="preserve"> рублей</w:t>
      </w:r>
      <w:r w:rsidR="00DE6C4F" w:rsidRPr="008650FE">
        <w:rPr>
          <w:sz w:val="28"/>
          <w:szCs w:val="28"/>
        </w:rPr>
        <w:t>;</w:t>
      </w:r>
    </w:p>
    <w:p w:rsidR="00DE6C4F" w:rsidRPr="008650FE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</w:t>
      </w:r>
      <w:r w:rsidR="00DE6C4F" w:rsidRPr="008650FE">
        <w:rPr>
          <w:sz w:val="28"/>
          <w:szCs w:val="28"/>
        </w:rPr>
        <w:t>, предоставляе</w:t>
      </w:r>
      <w:r>
        <w:rPr>
          <w:sz w:val="28"/>
          <w:szCs w:val="28"/>
        </w:rPr>
        <w:t>мой</w:t>
      </w:r>
      <w:r w:rsidR="00DE6C4F" w:rsidRPr="008650FE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 бюджета</w:t>
      </w:r>
      <w:r w:rsidR="00DE6C4F" w:rsidRPr="008650FE">
        <w:rPr>
          <w:sz w:val="28"/>
          <w:szCs w:val="28"/>
        </w:rPr>
        <w:t xml:space="preserve"> на реализацию</w:t>
      </w:r>
      <w:r>
        <w:rPr>
          <w:sz w:val="28"/>
          <w:szCs w:val="28"/>
        </w:rPr>
        <w:t xml:space="preserve"> проекта «Народный бюджет», в сумме 1 182 000</w:t>
      </w:r>
      <w:r w:rsidR="00DE6C4F" w:rsidRPr="008650FE">
        <w:rPr>
          <w:sz w:val="28"/>
          <w:szCs w:val="28"/>
        </w:rPr>
        <w:t xml:space="preserve"> рублей;</w:t>
      </w:r>
    </w:p>
    <w:p w:rsidR="00B85A63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</w:t>
      </w:r>
      <w:r w:rsidR="00B85A63">
        <w:rPr>
          <w:sz w:val="28"/>
          <w:szCs w:val="28"/>
        </w:rPr>
        <w:t xml:space="preserve"> на реализацию проекта «Народный бюджет», в сумме 98 502 рубля;</w:t>
      </w:r>
    </w:p>
    <w:p w:rsidR="00B85A63" w:rsidRDefault="00B85A63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физических лиц, обладающих земельным участком, расположенным в границах городски</w:t>
      </w:r>
      <w:r w:rsidR="002A1A67">
        <w:rPr>
          <w:sz w:val="28"/>
          <w:szCs w:val="28"/>
        </w:rPr>
        <w:t>х поселений, в сумме           1 037 289</w:t>
      </w:r>
      <w:r w:rsidR="00650D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DE6C4F" w:rsidRDefault="0038261D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 год в сумме 4 011 862</w:t>
      </w:r>
      <w:r w:rsidR="00B85A63">
        <w:rPr>
          <w:sz w:val="28"/>
          <w:szCs w:val="28"/>
        </w:rPr>
        <w:t xml:space="preserve"> рубля</w:t>
      </w:r>
      <w:r w:rsidR="00DE6C4F" w:rsidRPr="008650FE">
        <w:rPr>
          <w:sz w:val="28"/>
          <w:szCs w:val="28"/>
        </w:rPr>
        <w:t>, в том числе за счет:</w:t>
      </w:r>
    </w:p>
    <w:p w:rsidR="00B85A63" w:rsidRDefault="00B85A63" w:rsidP="00B85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акцизов по подакцизными товарами (продукции), </w:t>
      </w:r>
      <w:proofErr w:type="gramStart"/>
      <w:r>
        <w:rPr>
          <w:sz w:val="28"/>
          <w:szCs w:val="28"/>
        </w:rPr>
        <w:t>производимым</w:t>
      </w:r>
      <w:proofErr w:type="gramEnd"/>
      <w:r>
        <w:rPr>
          <w:sz w:val="28"/>
          <w:szCs w:val="28"/>
        </w:rPr>
        <w:t xml:space="preserve">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B85A63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Федерации, в сумме 807 560 рублей;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физических лиц, обладающих земельным участком, расположенным в границах городских поселений, в сумме   1 109 671 рубль;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</w:t>
      </w:r>
      <w:r w:rsidR="00D96620">
        <w:rPr>
          <w:sz w:val="28"/>
          <w:szCs w:val="28"/>
        </w:rPr>
        <w:t>дских поселений, в сумме   1 108</w:t>
      </w:r>
      <w:r>
        <w:rPr>
          <w:sz w:val="28"/>
          <w:szCs w:val="28"/>
        </w:rPr>
        <w:t xml:space="preserve"> </w:t>
      </w:r>
      <w:r w:rsidR="00D96620">
        <w:rPr>
          <w:sz w:val="28"/>
          <w:szCs w:val="28"/>
        </w:rPr>
        <w:t>4</w:t>
      </w:r>
      <w:r>
        <w:rPr>
          <w:sz w:val="28"/>
          <w:szCs w:val="28"/>
        </w:rPr>
        <w:t>07 рублей;</w:t>
      </w:r>
    </w:p>
    <w:p w:rsidR="00DE6C4F" w:rsidRPr="008650FE" w:rsidRDefault="004456F8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D96620">
        <w:rPr>
          <w:sz w:val="28"/>
          <w:szCs w:val="28"/>
        </w:rPr>
        <w:t>4 486 670</w:t>
      </w:r>
      <w:r>
        <w:rPr>
          <w:sz w:val="28"/>
          <w:szCs w:val="28"/>
        </w:rPr>
        <w:t xml:space="preserve"> </w:t>
      </w:r>
      <w:r w:rsidR="00DE6C4F" w:rsidRPr="008650FE">
        <w:rPr>
          <w:sz w:val="28"/>
          <w:szCs w:val="28"/>
        </w:rPr>
        <w:t>рублей, в том числе за счет: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акцизов по подакцизными товарами (продукции), </w:t>
      </w:r>
      <w:proofErr w:type="gramStart"/>
      <w:r>
        <w:rPr>
          <w:sz w:val="28"/>
          <w:szCs w:val="28"/>
        </w:rPr>
        <w:t>производимым</w:t>
      </w:r>
      <w:proofErr w:type="gramEnd"/>
      <w:r>
        <w:rPr>
          <w:sz w:val="28"/>
          <w:szCs w:val="28"/>
        </w:rPr>
        <w:t xml:space="preserve">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</w:r>
      <w:r w:rsidR="00866EBF">
        <w:rPr>
          <w:sz w:val="28"/>
          <w:szCs w:val="28"/>
        </w:rPr>
        <w:t>, в сумме 866</w:t>
      </w:r>
      <w:r>
        <w:rPr>
          <w:sz w:val="28"/>
          <w:szCs w:val="28"/>
        </w:rPr>
        <w:t> </w:t>
      </w:r>
      <w:r w:rsidR="00866EBF">
        <w:rPr>
          <w:sz w:val="28"/>
          <w:szCs w:val="28"/>
        </w:rPr>
        <w:t>974</w:t>
      </w:r>
      <w:r>
        <w:rPr>
          <w:sz w:val="28"/>
          <w:szCs w:val="28"/>
        </w:rPr>
        <w:t xml:space="preserve"> рублей;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налог с физических лиц, обладающих земельным участком, расположенным в границах городских поселений, в сумме   </w:t>
      </w:r>
      <w:r w:rsidR="00785D2B">
        <w:rPr>
          <w:sz w:val="28"/>
          <w:szCs w:val="28"/>
        </w:rPr>
        <w:t xml:space="preserve">1 375 845 </w:t>
      </w:r>
      <w:r w:rsidR="00866EBF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городских поселений, в сумме   1</w:t>
      </w:r>
      <w:r w:rsidR="00785D2B">
        <w:rPr>
          <w:sz w:val="28"/>
          <w:szCs w:val="28"/>
        </w:rPr>
        <w:t> 257 627</w:t>
      </w:r>
      <w:r>
        <w:rPr>
          <w:sz w:val="28"/>
          <w:szCs w:val="28"/>
        </w:rPr>
        <w:t xml:space="preserve"> рублей;</w:t>
      </w:r>
    </w:p>
    <w:p w:rsidR="00DE6C4F" w:rsidRPr="008650FE" w:rsidRDefault="00DE6C4F" w:rsidP="00DE6C4F">
      <w:pPr>
        <w:pStyle w:val="Default"/>
        <w:ind w:firstLine="709"/>
        <w:jc w:val="both"/>
        <w:rPr>
          <w:sz w:val="28"/>
          <w:szCs w:val="28"/>
        </w:rPr>
      </w:pPr>
    </w:p>
    <w:p w:rsidR="00BF5B9E" w:rsidRPr="008650FE" w:rsidRDefault="00BF5B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</w:t>
      </w:r>
      <w:r w:rsidR="00595A2F" w:rsidRPr="008650FE">
        <w:rPr>
          <w:rFonts w:ascii="Times New Roman" w:hAnsi="Times New Roman"/>
          <w:b/>
          <w:sz w:val="28"/>
          <w:szCs w:val="28"/>
        </w:rPr>
        <w:t> </w:t>
      </w:r>
      <w:r w:rsidR="00BD5BC4">
        <w:rPr>
          <w:rFonts w:ascii="Times New Roman" w:hAnsi="Times New Roman"/>
          <w:b/>
          <w:sz w:val="28"/>
          <w:szCs w:val="28"/>
        </w:rPr>
        <w:t>7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 w:rsidR="00E40B13">
        <w:rPr>
          <w:rFonts w:ascii="Times New Roman" w:hAnsi="Times New Roman"/>
          <w:b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/>
          <w:sz w:val="28"/>
          <w:szCs w:val="28"/>
        </w:rPr>
        <w:t xml:space="preserve"> </w:t>
      </w:r>
      <w:r w:rsidR="00E40B13">
        <w:rPr>
          <w:rFonts w:ascii="Times New Roman" w:hAnsi="Times New Roman"/>
          <w:b/>
          <w:sz w:val="28"/>
          <w:szCs w:val="28"/>
        </w:rPr>
        <w:t xml:space="preserve">  </w:t>
      </w:r>
      <w:r w:rsidR="004353B6" w:rsidRPr="008650FE">
        <w:rPr>
          <w:rFonts w:ascii="Times New Roman" w:hAnsi="Times New Roman"/>
          <w:b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sz w:val="28"/>
          <w:szCs w:val="28"/>
        </w:rPr>
        <w:t>20</w:t>
      </w:r>
      <w:r w:rsidR="00F90739" w:rsidRPr="008650FE">
        <w:rPr>
          <w:rFonts w:ascii="Times New Roman" w:hAnsi="Times New Roman"/>
          <w:b/>
          <w:sz w:val="28"/>
          <w:szCs w:val="28"/>
        </w:rPr>
        <w:t>20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C1A37" w:rsidRPr="008650FE" w:rsidRDefault="001C1A37" w:rsidP="009A30EA">
      <w:pPr>
        <w:widowControl w:val="0"/>
        <w:tabs>
          <w:tab w:val="left" w:pos="2842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639E" w:rsidRPr="008650FE" w:rsidRDefault="00E40B13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2C2" w:rsidRPr="008650FE">
        <w:rPr>
          <w:sz w:val="28"/>
          <w:szCs w:val="28"/>
        </w:rPr>
        <w:t>. </w:t>
      </w:r>
      <w:proofErr w:type="gramStart"/>
      <w:r w:rsidR="0016639E" w:rsidRPr="008650FE">
        <w:rPr>
          <w:sz w:val="28"/>
          <w:szCs w:val="28"/>
        </w:rPr>
        <w:t>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="0016639E" w:rsidRPr="008650FE">
        <w:rPr>
          <w:sz w:val="28"/>
          <w:szCs w:val="28"/>
        </w:rPr>
        <w:t xml:space="preserve">: </w:t>
      </w:r>
      <w:proofErr w:type="gramEnd"/>
    </w:p>
    <w:p w:rsidR="0016639E" w:rsidRPr="008650FE" w:rsidRDefault="0016639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реорганизация государственных учреждений;</w:t>
      </w:r>
    </w:p>
    <w:p w:rsidR="0016639E" w:rsidRPr="008650FE" w:rsidRDefault="0016639E" w:rsidP="00D511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</w:t>
      </w:r>
      <w:r w:rsidR="00C63FE8" w:rsidRPr="008650FE">
        <w:rPr>
          <w:sz w:val="28"/>
          <w:szCs w:val="28"/>
        </w:rPr>
        <w:t>применение</w:t>
      </w:r>
      <w:r w:rsidR="00A01895" w:rsidRPr="008650FE">
        <w:rPr>
          <w:sz w:val="28"/>
          <w:szCs w:val="28"/>
        </w:rPr>
        <w:t xml:space="preserve"> бюджетных мер принуждения</w:t>
      </w:r>
      <w:r w:rsidRPr="008650FE">
        <w:rPr>
          <w:sz w:val="28"/>
          <w:szCs w:val="28"/>
        </w:rPr>
        <w:t>,</w:t>
      </w:r>
      <w:r w:rsidR="00A01895" w:rsidRPr="008650FE">
        <w:rPr>
          <w:sz w:val="28"/>
          <w:szCs w:val="28"/>
        </w:rPr>
        <w:t xml:space="preserve"> предусмотренных главой 30</w:t>
      </w:r>
      <w:r w:rsidRPr="008650FE">
        <w:rPr>
          <w:sz w:val="28"/>
          <w:szCs w:val="28"/>
        </w:rPr>
        <w:t xml:space="preserve"> Бюджетного кодекса Российской Федерации;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 xml:space="preserve">) перераспределение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16639E" w:rsidRPr="008650FE">
        <w:rPr>
          <w:sz w:val="28"/>
          <w:szCs w:val="28"/>
        </w:rPr>
        <w:t>, между главными распорядителями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16639E" w:rsidRPr="008650FE">
        <w:rPr>
          <w:sz w:val="28"/>
          <w:szCs w:val="28"/>
        </w:rPr>
        <w:t xml:space="preserve"> решений о сокращении численности работников этих исполнительных органов </w:t>
      </w:r>
      <w:r>
        <w:rPr>
          <w:sz w:val="28"/>
          <w:szCs w:val="28"/>
        </w:rPr>
        <w:t>местного самоуправления</w:t>
      </w:r>
      <w:r w:rsidR="0016639E" w:rsidRPr="008650FE">
        <w:rPr>
          <w:sz w:val="28"/>
          <w:szCs w:val="28"/>
        </w:rPr>
        <w:t>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639E" w:rsidRPr="008650FE">
        <w:rPr>
          <w:sz w:val="28"/>
          <w:szCs w:val="28"/>
        </w:rPr>
        <w:t>) </w:t>
      </w:r>
      <w:r w:rsidR="00B4381F" w:rsidRPr="008650FE">
        <w:rPr>
          <w:bCs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бюджетных ассигнований;</w:t>
      </w:r>
    </w:p>
    <w:p w:rsidR="000A6B9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6B9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0A6B99" w:rsidRPr="008650FE">
        <w:rPr>
          <w:sz w:val="28"/>
          <w:szCs w:val="28"/>
        </w:rPr>
        <w:t>перераспределение бюджетных ассигнований на приоритетные проекты (программы)</w:t>
      </w:r>
      <w:r w:rsidR="0097344F" w:rsidRPr="008650FE">
        <w:rPr>
          <w:sz w:val="28"/>
          <w:szCs w:val="28"/>
        </w:rPr>
        <w:t xml:space="preserve">, </w:t>
      </w:r>
      <w:r w:rsidR="0057270D" w:rsidRPr="008650FE">
        <w:rPr>
          <w:sz w:val="28"/>
          <w:szCs w:val="28"/>
        </w:rPr>
        <w:t xml:space="preserve">национальные проекты, </w:t>
      </w:r>
      <w:r w:rsidR="0097344F" w:rsidRPr="008650FE">
        <w:rPr>
          <w:sz w:val="28"/>
          <w:szCs w:val="28"/>
        </w:rPr>
        <w:t>осуществляемые</w:t>
      </w:r>
      <w:r w:rsidR="000A6B99" w:rsidRPr="008650FE">
        <w:rPr>
          <w:sz w:val="28"/>
          <w:szCs w:val="28"/>
        </w:rPr>
        <w:t xml:space="preserve"> в </w:t>
      </w:r>
      <w:r w:rsidR="0097344F" w:rsidRPr="008650FE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муниципальных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97344F" w:rsidRPr="008650FE">
        <w:rPr>
          <w:sz w:val="28"/>
          <w:szCs w:val="28"/>
        </w:rPr>
        <w:t>, в пределах объемов</w:t>
      </w:r>
      <w:r w:rsidR="006C2D27" w:rsidRPr="008650FE">
        <w:rPr>
          <w:sz w:val="28"/>
          <w:szCs w:val="28"/>
        </w:rPr>
        <w:t>,</w:t>
      </w:r>
      <w:r w:rsidR="0097344F" w:rsidRPr="008650FE">
        <w:rPr>
          <w:sz w:val="28"/>
          <w:szCs w:val="28"/>
        </w:rPr>
        <w:t xml:space="preserve"> предусмотренных на реализацию соответствующих </w:t>
      </w:r>
      <w:r>
        <w:rPr>
          <w:sz w:val="28"/>
          <w:szCs w:val="28"/>
        </w:rPr>
        <w:t xml:space="preserve">муниципальных 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861D6B" w:rsidRPr="008650FE">
        <w:rPr>
          <w:sz w:val="28"/>
          <w:szCs w:val="28"/>
        </w:rPr>
        <w:t>;</w:t>
      </w:r>
    </w:p>
    <w:p w:rsidR="00CD002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002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CD0029" w:rsidRPr="008650FE">
        <w:rPr>
          <w:sz w:val="28"/>
          <w:szCs w:val="28"/>
        </w:rPr>
        <w:t>перераспределение бюджетных ассигнований</w:t>
      </w:r>
      <w:r w:rsidR="00830F9C" w:rsidRPr="008650FE">
        <w:rPr>
          <w:sz w:val="28"/>
          <w:szCs w:val="28"/>
        </w:rPr>
        <w:t xml:space="preserve"> между разделами, подразделами, целевыми статьями и видами расходов </w:t>
      </w:r>
      <w:r w:rsidR="00CD0029" w:rsidRPr="008650FE">
        <w:rPr>
          <w:sz w:val="28"/>
          <w:szCs w:val="28"/>
        </w:rPr>
        <w:t>в пределах объемов экономии бюджетных средств, полученной по итогам осуществления закупок</w:t>
      </w:r>
      <w:r w:rsidR="00830F9C" w:rsidRPr="008650FE">
        <w:rPr>
          <w:sz w:val="28"/>
          <w:szCs w:val="28"/>
        </w:rPr>
        <w:t xml:space="preserve">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830F9C" w:rsidRPr="008650FE">
        <w:rPr>
          <w:sz w:val="28"/>
          <w:szCs w:val="28"/>
        </w:rPr>
        <w:t xml:space="preserve"> нужд</w:t>
      </w:r>
      <w:r w:rsidR="00CD0029" w:rsidRPr="008650FE">
        <w:rPr>
          <w:sz w:val="28"/>
          <w:szCs w:val="28"/>
        </w:rPr>
        <w:t>, на основании правового акт</w:t>
      </w:r>
      <w:r w:rsidR="00C63FE8" w:rsidRPr="008650FE"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>поселка Конышевка</w:t>
      </w:r>
      <w:r w:rsidR="00C63FE8" w:rsidRPr="008650FE">
        <w:rPr>
          <w:sz w:val="28"/>
          <w:szCs w:val="28"/>
        </w:rPr>
        <w:t>;</w:t>
      </w:r>
    </w:p>
    <w:p w:rsidR="00B4381F" w:rsidRPr="008650FE" w:rsidRDefault="00D5117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7</w:t>
      </w:r>
      <w:r w:rsidR="00B4381F" w:rsidRPr="008650FE">
        <w:rPr>
          <w:bCs/>
          <w:sz w:val="28"/>
          <w:szCs w:val="28"/>
        </w:rPr>
        <w:t>)</w:t>
      </w:r>
      <w:r w:rsidR="00572BAC" w:rsidRPr="008650FE">
        <w:rPr>
          <w:bCs/>
          <w:sz w:val="28"/>
          <w:szCs w:val="28"/>
        </w:rPr>
        <w:t> </w:t>
      </w:r>
      <w:r w:rsidR="00B4381F" w:rsidRPr="008650FE">
        <w:rPr>
          <w:b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8650FE">
        <w:rPr>
          <w:bCs/>
          <w:sz w:val="28"/>
          <w:szCs w:val="28"/>
        </w:rPr>
        <w:t xml:space="preserve"> </w:t>
      </w:r>
      <w:r w:rsidR="00B4381F" w:rsidRPr="008650FE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областного</w:t>
      </w:r>
      <w:r w:rsidR="00B4381F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>
        <w:rPr>
          <w:bCs/>
          <w:sz w:val="28"/>
          <w:szCs w:val="28"/>
        </w:rPr>
        <w:t xml:space="preserve">муниципальной </w:t>
      </w:r>
      <w:r w:rsidR="00952272" w:rsidRPr="008650FE">
        <w:rPr>
          <w:bCs/>
          <w:sz w:val="28"/>
          <w:szCs w:val="28"/>
        </w:rPr>
        <w:t xml:space="preserve"> программе;</w:t>
      </w:r>
      <w:proofErr w:type="gramEnd"/>
    </w:p>
    <w:p w:rsidR="00952272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952272" w:rsidRPr="008650FE">
        <w:rPr>
          <w:bCs/>
          <w:sz w:val="28"/>
          <w:szCs w:val="28"/>
        </w:rPr>
        <w:t>) переименование главного распорядителя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,  создание или ликвидация главного распорядителя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.</w:t>
      </w:r>
    </w:p>
    <w:p w:rsidR="00D647F0" w:rsidRPr="008650FE" w:rsidRDefault="00D5117D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7F0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Установить, что получатель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D647F0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при заключении договоров (</w:t>
      </w:r>
      <w:r w:rsidR="00BD5BC4"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100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7A0DDC" w:rsidRPr="008650FE">
        <w:rPr>
          <w:sz w:val="28"/>
          <w:szCs w:val="28"/>
        </w:rPr>
        <w:t xml:space="preserve">– </w:t>
      </w:r>
      <w:r w:rsidRPr="008650FE">
        <w:rPr>
          <w:sz w:val="28"/>
          <w:szCs w:val="28"/>
        </w:rPr>
        <w:t>по договорам (контрактам):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</w:t>
      </w:r>
      <w:proofErr w:type="gramStart"/>
      <w:r w:rsidRPr="008650FE">
        <w:rPr>
          <w:sz w:val="28"/>
          <w:szCs w:val="28"/>
        </w:rPr>
        <w:t>а-</w:t>
      </w:r>
      <w:proofErr w:type="gramEnd"/>
      <w:r w:rsidRPr="008650FE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</w:t>
      </w:r>
      <w:proofErr w:type="gramStart"/>
      <w:r w:rsidRPr="008650FE">
        <w:rPr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Pr="008650FE">
        <w:rPr>
          <w:sz w:val="28"/>
          <w:szCs w:val="28"/>
        </w:rPr>
        <w:t xml:space="preserve"> строительства, финансовое об</w:t>
      </w:r>
      <w:r w:rsidR="00BD5BC4">
        <w:rPr>
          <w:sz w:val="28"/>
          <w:szCs w:val="28"/>
        </w:rPr>
        <w:t>еспечение строительства</w:t>
      </w:r>
      <w:r w:rsidRPr="008650FE">
        <w:rPr>
          <w:sz w:val="28"/>
          <w:szCs w:val="28"/>
        </w:rPr>
        <w:t>;</w:t>
      </w:r>
    </w:p>
    <w:p w:rsidR="00D647F0" w:rsidRPr="008650FE" w:rsidRDefault="00BD5BC4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647F0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не более 60 процентов суммы договора (</w:t>
      </w:r>
      <w:r>
        <w:rPr>
          <w:sz w:val="28"/>
          <w:szCs w:val="28"/>
        </w:rPr>
        <w:t>муниципального</w:t>
      </w:r>
      <w:r w:rsidR="00D647F0"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 xml:space="preserve">– </w:t>
      </w:r>
      <w:r w:rsidR="00D647F0" w:rsidRPr="008650FE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="00D647F0" w:rsidRPr="008650FE">
        <w:rPr>
          <w:sz w:val="28"/>
          <w:szCs w:val="28"/>
        </w:rPr>
        <w:t xml:space="preserve"> контрактам), связанным с дорожной деятельностью, в том числе </w:t>
      </w:r>
      <w:r w:rsidR="005F51BC" w:rsidRPr="008650FE">
        <w:rPr>
          <w:sz w:val="28"/>
          <w:szCs w:val="28"/>
        </w:rPr>
        <w:t>на</w:t>
      </w:r>
      <w:r w:rsidR="00D647F0" w:rsidRPr="008650FE">
        <w:rPr>
          <w:sz w:val="28"/>
          <w:szCs w:val="28"/>
        </w:rPr>
        <w:t xml:space="preserve"> приобретени</w:t>
      </w:r>
      <w:r w:rsidR="005F51BC" w:rsidRPr="008650FE">
        <w:rPr>
          <w:sz w:val="28"/>
          <w:szCs w:val="28"/>
        </w:rPr>
        <w:t>е</w:t>
      </w:r>
      <w:r w:rsidR="00D647F0" w:rsidRPr="008650FE">
        <w:rPr>
          <w:sz w:val="28"/>
          <w:szCs w:val="28"/>
        </w:rPr>
        <w:t xml:space="preserve">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</w:t>
      </w:r>
      <w:proofErr w:type="gramStart"/>
      <w:r w:rsidR="00D647F0" w:rsidRPr="008650FE">
        <w:rPr>
          <w:sz w:val="28"/>
          <w:szCs w:val="28"/>
        </w:rPr>
        <w:t>содержания</w:t>
      </w:r>
      <w:proofErr w:type="gramEnd"/>
      <w:r w:rsidR="00D647F0" w:rsidRPr="008650FE">
        <w:rPr>
          <w:sz w:val="28"/>
          <w:szCs w:val="28"/>
        </w:rPr>
        <w:t xml:space="preserve"> автомобильных дорог общего пользования;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г)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не более 30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>–</w:t>
      </w:r>
      <w:r w:rsidRPr="008650FE">
        <w:rPr>
          <w:sz w:val="28"/>
          <w:szCs w:val="28"/>
        </w:rPr>
        <w:t xml:space="preserve"> по иным договорам (</w:t>
      </w:r>
      <w:r w:rsidR="00BD5BC4">
        <w:rPr>
          <w:sz w:val="28"/>
          <w:szCs w:val="28"/>
        </w:rPr>
        <w:t>муниципальным</w:t>
      </w:r>
      <w:r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D647F0" w:rsidRPr="008650FE" w:rsidRDefault="00D647F0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650FE">
        <w:rPr>
          <w:sz w:val="28"/>
          <w:szCs w:val="28"/>
        </w:rPr>
        <w:t>2)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</w:t>
      </w:r>
      <w:r w:rsidR="00F466F6" w:rsidRPr="008650FE">
        <w:rPr>
          <w:sz w:val="28"/>
          <w:szCs w:val="28"/>
        </w:rPr>
        <w:t>ками, в размере 100 процентов;</w:t>
      </w:r>
      <w:proofErr w:type="gramEnd"/>
    </w:p>
    <w:p w:rsidR="0016639E" w:rsidRPr="008650FE" w:rsidRDefault="00BD5BC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поселка Конышевка</w:t>
      </w:r>
      <w:r w:rsidR="0016639E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Pr="00BD5BC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D6829" w:rsidRPr="008650FE" w:rsidRDefault="003D6829" w:rsidP="00A6746A">
      <w:pPr>
        <w:widowControl w:val="0"/>
        <w:suppressAutoHyphens/>
        <w:jc w:val="both"/>
        <w:rPr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A6746A">
        <w:rPr>
          <w:b/>
          <w:szCs w:val="28"/>
        </w:rPr>
        <w:t>8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382932" w:rsidRPr="008650FE" w:rsidRDefault="00382932" w:rsidP="00D565DD">
      <w:pPr>
        <w:jc w:val="both"/>
        <w:rPr>
          <w:sz w:val="28"/>
          <w:szCs w:val="28"/>
        </w:rPr>
      </w:pPr>
    </w:p>
    <w:p w:rsidR="0016639E" w:rsidRPr="008650FE" w:rsidRDefault="00D565DD" w:rsidP="0038293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5904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>Рекомендовать органам местного самоуправления не принимать решения, приводящие к увеличен</w:t>
      </w:r>
      <w:r w:rsidR="0043353F" w:rsidRPr="008650FE">
        <w:rPr>
          <w:sz w:val="28"/>
          <w:szCs w:val="28"/>
        </w:rPr>
        <w:t xml:space="preserve">ию в </w:t>
      </w:r>
      <w:r w:rsidR="00037CC4" w:rsidRPr="008650FE">
        <w:rPr>
          <w:sz w:val="28"/>
          <w:szCs w:val="28"/>
        </w:rPr>
        <w:t>20</w:t>
      </w:r>
      <w:r w:rsidR="00D3559B" w:rsidRPr="008650FE">
        <w:rPr>
          <w:sz w:val="28"/>
          <w:szCs w:val="28"/>
        </w:rPr>
        <w:t>20</w:t>
      </w:r>
      <w:r w:rsidR="0016639E" w:rsidRPr="008650FE">
        <w:rPr>
          <w:sz w:val="28"/>
          <w:szCs w:val="28"/>
        </w:rPr>
        <w:t xml:space="preserve"> году численности муниципальных служащих и работников муниципальных учреждений.</w:t>
      </w:r>
    </w:p>
    <w:p w:rsidR="00B16C54" w:rsidRPr="008650FE" w:rsidRDefault="002A1A67" w:rsidP="0089088E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Установить, что с 1 апреля</w:t>
      </w:r>
      <w:r w:rsidR="00B16C54" w:rsidRPr="008650FE">
        <w:rPr>
          <w:sz w:val="28"/>
          <w:szCs w:val="28"/>
        </w:rPr>
        <w:t xml:space="preserve"> 2020 года размер денежного вознаграждения лиц, замещающих </w:t>
      </w:r>
      <w:r w:rsidR="00D565DD">
        <w:rPr>
          <w:sz w:val="28"/>
          <w:szCs w:val="28"/>
        </w:rPr>
        <w:t>муниципальные</w:t>
      </w:r>
      <w:r w:rsidR="00B16C54" w:rsidRPr="008650FE">
        <w:rPr>
          <w:sz w:val="28"/>
          <w:szCs w:val="28"/>
        </w:rPr>
        <w:t xml:space="preserve"> должности </w:t>
      </w:r>
      <w:r w:rsidR="00D565DD">
        <w:rPr>
          <w:sz w:val="28"/>
          <w:szCs w:val="28"/>
        </w:rPr>
        <w:t>Администрации поселка Конышевк</w:t>
      </w:r>
      <w:r w:rsidR="0089088E">
        <w:rPr>
          <w:sz w:val="28"/>
          <w:szCs w:val="28"/>
        </w:rPr>
        <w:t>а</w:t>
      </w:r>
      <w:r w:rsidR="00D565DD">
        <w:rPr>
          <w:sz w:val="28"/>
          <w:szCs w:val="28"/>
        </w:rPr>
        <w:t xml:space="preserve"> Конышевского района Курской </w:t>
      </w:r>
      <w:r w:rsidR="0089088E">
        <w:rPr>
          <w:sz w:val="28"/>
          <w:szCs w:val="28"/>
        </w:rPr>
        <w:t>области</w:t>
      </w:r>
      <w:r w:rsidR="00B16C54" w:rsidRPr="008650FE">
        <w:rPr>
          <w:sz w:val="28"/>
          <w:szCs w:val="28"/>
        </w:rPr>
        <w:t xml:space="preserve">, окладов месячного денежного содержания </w:t>
      </w:r>
      <w:r w:rsidR="00D565DD">
        <w:rPr>
          <w:sz w:val="28"/>
          <w:szCs w:val="28"/>
        </w:rPr>
        <w:t xml:space="preserve">муниципальных </w:t>
      </w:r>
      <w:r w:rsidR="00B16C54" w:rsidRPr="008650FE">
        <w:rPr>
          <w:sz w:val="28"/>
          <w:szCs w:val="28"/>
        </w:rPr>
        <w:t>служащих</w:t>
      </w:r>
      <w:r w:rsidR="0089088E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="00B16C54" w:rsidRPr="008650FE">
        <w:rPr>
          <w:sz w:val="28"/>
          <w:szCs w:val="28"/>
        </w:rPr>
        <w:t xml:space="preserve">, а также месячных должностных окладов работников, замещающих должности, не являющиеся должностями </w:t>
      </w:r>
      <w:r w:rsidR="0089088E">
        <w:rPr>
          <w:sz w:val="28"/>
          <w:szCs w:val="28"/>
        </w:rPr>
        <w:t>муниципальной</w:t>
      </w:r>
      <w:r w:rsidR="00B16C54" w:rsidRPr="008650FE">
        <w:rPr>
          <w:sz w:val="28"/>
          <w:szCs w:val="28"/>
        </w:rPr>
        <w:t xml:space="preserve"> службы, индексируется на 1,03.</w:t>
      </w:r>
    </w:p>
    <w:p w:rsidR="00230F06" w:rsidRDefault="00230F06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952834" w:rsidRDefault="00952834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952834" w:rsidRDefault="00952834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952834" w:rsidRPr="008650FE" w:rsidRDefault="00952834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C72FC0" w:rsidRPr="008650FE" w:rsidRDefault="00C72FC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B56C9E">
        <w:rPr>
          <w:b/>
          <w:sz w:val="28"/>
          <w:szCs w:val="28"/>
        </w:rPr>
        <w:t>9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045167" w:rsidRPr="008650F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845ACF">
        <w:rPr>
          <w:rFonts w:ascii="Times New Roman" w:hAnsi="Times New Roman"/>
          <w:sz w:val="28"/>
          <w:szCs w:val="28"/>
        </w:rPr>
        <w:t>Установить объем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 на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3F5ADA" w:rsidRPr="008650FE">
        <w:rPr>
          <w:rFonts w:ascii="Times New Roman" w:hAnsi="Times New Roman"/>
          <w:sz w:val="28"/>
          <w:szCs w:val="28"/>
        </w:rPr>
        <w:t>20</w:t>
      </w:r>
      <w:r w:rsidRPr="008650FE">
        <w:rPr>
          <w:rFonts w:ascii="Times New Roman" w:hAnsi="Times New Roman"/>
          <w:sz w:val="28"/>
          <w:szCs w:val="28"/>
        </w:rPr>
        <w:t xml:space="preserve"> год в сумме </w:t>
      </w:r>
      <w:r w:rsidR="002A1A67">
        <w:rPr>
          <w:rFonts w:ascii="Times New Roman" w:hAnsi="Times New Roman"/>
          <w:bCs/>
          <w:sz w:val="28"/>
          <w:szCs w:val="28"/>
        </w:rPr>
        <w:t>10 567 764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</w:t>
      </w:r>
      <w:r w:rsidR="00705227" w:rsidRPr="008650FE">
        <w:rPr>
          <w:rFonts w:ascii="Times New Roman" w:hAnsi="Times New Roman"/>
          <w:sz w:val="28"/>
          <w:szCs w:val="28"/>
        </w:rPr>
        <w:t>я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3F5ADA" w:rsidRPr="008650FE">
        <w:rPr>
          <w:rFonts w:ascii="Times New Roman" w:hAnsi="Times New Roman"/>
          <w:sz w:val="28"/>
          <w:szCs w:val="28"/>
        </w:rPr>
        <w:t>1</w:t>
      </w:r>
      <w:r w:rsidRPr="008650FE">
        <w:rPr>
          <w:rFonts w:ascii="Times New Roman" w:hAnsi="Times New Roman"/>
          <w:sz w:val="28"/>
          <w:szCs w:val="28"/>
        </w:rPr>
        <w:t xml:space="preserve"> год</w:t>
      </w:r>
      <w:r w:rsidR="00B809F8" w:rsidRPr="008650FE">
        <w:rPr>
          <w:rFonts w:ascii="Times New Roman" w:hAnsi="Times New Roman"/>
          <w:sz w:val="28"/>
          <w:szCs w:val="28"/>
        </w:rPr>
        <w:t xml:space="preserve">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 в сумме </w:t>
      </w:r>
      <w:r w:rsidR="00845ACF">
        <w:rPr>
          <w:rFonts w:ascii="Times New Roman" w:hAnsi="Times New Roman"/>
          <w:bCs/>
          <w:sz w:val="28"/>
          <w:szCs w:val="28"/>
        </w:rPr>
        <w:t>10 953 275</w:t>
      </w:r>
      <w:r w:rsidR="00B430BF" w:rsidRPr="008650FE">
        <w:rPr>
          <w:rFonts w:ascii="Times New Roman" w:hAnsi="Times New Roman"/>
          <w:sz w:val="28"/>
          <w:szCs w:val="28"/>
        </w:rPr>
        <w:t xml:space="preserve"> </w:t>
      </w:r>
      <w:r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3F5ADA" w:rsidRPr="008650FE">
        <w:rPr>
          <w:rFonts w:ascii="Times New Roman" w:hAnsi="Times New Roman"/>
          <w:sz w:val="28"/>
          <w:szCs w:val="28"/>
        </w:rPr>
        <w:t>2022</w:t>
      </w:r>
      <w:r w:rsidRPr="008650FE">
        <w:rPr>
          <w:rFonts w:ascii="Times New Roman" w:hAnsi="Times New Roman"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="00B809F8" w:rsidRPr="008650FE">
        <w:rPr>
          <w:rFonts w:ascii="Times New Roman" w:hAnsi="Times New Roman"/>
          <w:sz w:val="28"/>
          <w:szCs w:val="28"/>
        </w:rPr>
        <w:t xml:space="preserve"> </w:t>
      </w:r>
      <w:r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11 428 083</w:t>
      </w:r>
      <w:r w:rsidR="00B430BF" w:rsidRPr="008650FE">
        <w:rPr>
          <w:rFonts w:ascii="Times New Roman" w:hAnsi="Times New Roman"/>
          <w:sz w:val="28"/>
          <w:szCs w:val="28"/>
        </w:rPr>
        <w:t xml:space="preserve"> </w:t>
      </w:r>
      <w:r w:rsidR="00845ACF">
        <w:rPr>
          <w:rFonts w:ascii="Times New Roman" w:hAnsi="Times New Roman"/>
          <w:sz w:val="28"/>
          <w:szCs w:val="28"/>
        </w:rPr>
        <w:t>рубля</w:t>
      </w:r>
      <w:r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E2A37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1C5CC8" w:rsidRPr="008650FE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1C5CC8" w:rsidRPr="008650FE">
        <w:rPr>
          <w:rFonts w:ascii="Times New Roman" w:hAnsi="Times New Roman" w:cs="Times New Roman"/>
          <w:sz w:val="28"/>
          <w:szCs w:val="28"/>
        </w:rPr>
        <w:t>20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13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1C5CC8" w:rsidRPr="008650FE">
        <w:rPr>
          <w:rFonts w:ascii="Times New Roman" w:hAnsi="Times New Roman" w:cs="Times New Roman"/>
          <w:sz w:val="28"/>
          <w:szCs w:val="28"/>
        </w:rPr>
        <w:t>20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4784F">
        <w:rPr>
          <w:rFonts w:ascii="Times New Roman" w:hAnsi="Times New Roman" w:cs="Times New Roman"/>
          <w:sz w:val="28"/>
          <w:szCs w:val="28"/>
        </w:rPr>
        <w:t>14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15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B56C9E">
        <w:rPr>
          <w:b/>
          <w:bCs/>
          <w:lang w:val="ru-RU"/>
        </w:rPr>
        <w:t>10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164DA0" w:rsidRDefault="00B4784F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="0016639E" w:rsidRPr="008650FE">
        <w:rPr>
          <w:rFonts w:ascii="Times New Roman" w:hAnsi="Times New Roman"/>
          <w:sz w:val="28"/>
          <w:szCs w:val="28"/>
        </w:rPr>
        <w:t xml:space="preserve"> вступает в силу </w:t>
      </w:r>
      <w:r w:rsidR="00B6572E">
        <w:rPr>
          <w:rFonts w:ascii="Times New Roman" w:hAnsi="Times New Roman"/>
          <w:sz w:val="28"/>
          <w:szCs w:val="28"/>
        </w:rPr>
        <w:t>с 01.01.2020 г</w:t>
      </w:r>
      <w:r w:rsidR="0016639E" w:rsidRPr="008650F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C97FEC" w:rsidRPr="00164DA0" w:rsidRDefault="00C97FEC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Председатель Собрания депутатов                            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Е.Н.Малахова</w:t>
      </w:r>
      <w:proofErr w:type="spellEnd"/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Глава поселка Конышевка                                         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  <w:proofErr w:type="spellEnd"/>
    </w:p>
    <w:sectPr w:rsidR="00B4784F" w:rsidRPr="00BF5328" w:rsidSect="00413A9F">
      <w:headerReference w:type="default" r:id="rId9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2D" w:rsidRDefault="00591C2D" w:rsidP="007E2796">
      <w:r>
        <w:separator/>
      </w:r>
    </w:p>
  </w:endnote>
  <w:endnote w:type="continuationSeparator" w:id="0">
    <w:p w:rsidR="00591C2D" w:rsidRDefault="00591C2D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2D" w:rsidRDefault="00591C2D" w:rsidP="007E2796">
      <w:r>
        <w:separator/>
      </w:r>
    </w:p>
  </w:footnote>
  <w:footnote w:type="continuationSeparator" w:id="0">
    <w:p w:rsidR="00591C2D" w:rsidRDefault="00591C2D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7D" w:rsidRPr="00470E66" w:rsidRDefault="007F2AA6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B6572E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35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31EBE"/>
    <w:rsid w:val="000324F7"/>
    <w:rsid w:val="00032F65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5A79"/>
    <w:rsid w:val="00287BD3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D08"/>
    <w:rsid w:val="00372ABC"/>
    <w:rsid w:val="00372F68"/>
    <w:rsid w:val="00377CFD"/>
    <w:rsid w:val="00381AF7"/>
    <w:rsid w:val="0038261D"/>
    <w:rsid w:val="00382932"/>
    <w:rsid w:val="00393107"/>
    <w:rsid w:val="00396569"/>
    <w:rsid w:val="003A1AF5"/>
    <w:rsid w:val="003A3380"/>
    <w:rsid w:val="003A5A09"/>
    <w:rsid w:val="003A60F1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1C2D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56C"/>
    <w:rsid w:val="0074330C"/>
    <w:rsid w:val="00743686"/>
    <w:rsid w:val="007437FA"/>
    <w:rsid w:val="00744A11"/>
    <w:rsid w:val="00745E26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572E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62926"/>
    <w:rsid w:val="00C63FE8"/>
    <w:rsid w:val="00C643C9"/>
    <w:rsid w:val="00C651B1"/>
    <w:rsid w:val="00C65807"/>
    <w:rsid w:val="00C66860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6940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9C130-3261-4494-AB07-7F703F80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2195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14681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Конышевка_ССТУ</cp:lastModifiedBy>
  <cp:revision>23</cp:revision>
  <cp:lastPrinted>2019-11-26T08:37:00Z</cp:lastPrinted>
  <dcterms:created xsi:type="dcterms:W3CDTF">2019-11-12T06:05:00Z</dcterms:created>
  <dcterms:modified xsi:type="dcterms:W3CDTF">2020-03-17T07:00:00Z</dcterms:modified>
</cp:coreProperties>
</file>